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284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thick"/>
        </w:rPr>
        <w:t>Solicitação e Autorização de Dispensa de Licitação</w:t>
      </w:r>
    </w:p>
    <w:p>
      <w:pPr>
        <w:spacing w:before="5"/>
        <w:rPr>
          <w:rFonts w:ascii="Calibri" w:hAnsi="Calibri" w:cs="Calibri"/>
          <w:b/>
        </w:rPr>
      </w:pPr>
    </w:p>
    <w:p>
      <w:pPr>
        <w:spacing w:before="93"/>
        <w:ind w:left="288" w:right="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Prefeito Municipal de Tenente Portela - RS, atendendo </w:t>
      </w:r>
      <w:r>
        <w:rPr>
          <w:rFonts w:ascii="Calibri" w:hAnsi="Calibri" w:cs="Calibri"/>
          <w:bCs/>
        </w:rPr>
        <w:t>solicitação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da Secretaria </w:t>
      </w:r>
      <w:r>
        <w:rPr>
          <w:rFonts w:hint="default" w:ascii="Calibri" w:hAnsi="Calibri" w:cs="Calibri"/>
          <w:lang w:val="pt-BR"/>
        </w:rPr>
        <w:t>de Educação, Cultura e Desporto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b/>
        </w:rPr>
        <w:t xml:space="preserve">AUTORIZA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</w:rPr>
        <w:t xml:space="preserve">ABERTURA </w:t>
      </w:r>
      <w:r>
        <w:rPr>
          <w:rFonts w:ascii="Calibri" w:hAnsi="Calibri" w:cs="Calibri"/>
        </w:rPr>
        <w:t xml:space="preserve">do </w:t>
      </w:r>
      <w:r>
        <w:rPr>
          <w:rFonts w:ascii="Calibri" w:hAnsi="Calibri" w:cs="Calibri"/>
          <w:b/>
        </w:rPr>
        <w:t xml:space="preserve">PROCESSO DE DISPENSA DE LICITAÇÃO </w:t>
      </w:r>
      <w:r>
        <w:rPr>
          <w:rFonts w:ascii="Calibri" w:hAnsi="Calibri" w:cs="Calibri"/>
        </w:rPr>
        <w:t xml:space="preserve">abaixo descrito, o qual </w:t>
      </w:r>
      <w:r>
        <w:rPr>
          <w:rFonts w:hint="default" w:ascii="Calibri" w:hAnsi="Calibri" w:cs="Calibri"/>
          <w:lang w:val="pt-BR"/>
        </w:rPr>
        <w:t>será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processado pela Secretaria Municipal de Finanças, de acordo com as disposições contidas no </w:t>
      </w:r>
      <w:r>
        <w:rPr>
          <w:rFonts w:ascii="Calibri" w:hAnsi="Calibri" w:cs="Calibri"/>
          <w:b/>
        </w:rPr>
        <w:t>Art. 24 - Inciso II da Lei Federal nº 8.666/93</w:t>
      </w:r>
      <w:r>
        <w:rPr>
          <w:rFonts w:ascii="Calibri" w:hAnsi="Calibri" w:cs="Calibri"/>
        </w:rPr>
        <w:t>:</w:t>
      </w:r>
    </w:p>
    <w:p>
      <w:pPr>
        <w:spacing w:before="93"/>
        <w:ind w:left="288" w:right="7"/>
        <w:jc w:val="both"/>
        <w:rPr>
          <w:rFonts w:ascii="Calibri" w:hAnsi="Calibri" w:cs="Calibri"/>
        </w:rPr>
      </w:pPr>
    </w:p>
    <w:p>
      <w:pPr>
        <w:spacing w:before="11"/>
        <w:rPr>
          <w:rFonts w:ascii="Calibri" w:hAnsi="Calibri" w:cs="Calibri"/>
        </w:rPr>
      </w:pPr>
    </w:p>
    <w:p>
      <w:pPr>
        <w:tabs>
          <w:tab w:val="left" w:pos="2552"/>
        </w:tabs>
        <w:ind w:left="358"/>
        <w:rPr>
          <w:rFonts w:ascii="Calibri" w:hAnsi="Calibri" w:cs="Calibri"/>
          <w:b/>
          <w:highlight w:val="none"/>
          <w:lang w:val="pt-BR"/>
        </w:rPr>
      </w:pPr>
      <w:r>
        <w:rPr>
          <w:rFonts w:ascii="Calibri" w:hAnsi="Calibri" w:cs="Calibri"/>
          <w:b/>
        </w:rPr>
        <w:t>PROCESSO</w:t>
      </w:r>
      <w:r>
        <w:rPr>
          <w:rFonts w:ascii="Calibri" w:hAnsi="Calibri" w:cs="Calibri"/>
          <w:b/>
          <w:spacing w:val="63"/>
        </w:rPr>
        <w:t xml:space="preserve"> </w:t>
      </w:r>
      <w:r>
        <w:rPr>
          <w:rFonts w:ascii="Calibri" w:hAnsi="Calibri" w:cs="Calibri"/>
          <w:b/>
        </w:rPr>
        <w:t>Nr.</w:t>
      </w:r>
      <w:r>
        <w:rPr>
          <w:rFonts w:ascii="Calibri" w:hAnsi="Calibri" w:cs="Calibri"/>
          <w:b/>
        </w:rPr>
        <w:tab/>
      </w:r>
      <w:r>
        <w:rPr>
          <w:rFonts w:hint="default" w:ascii="Calibri" w:hAnsi="Calibri" w:cs="Calibri"/>
          <w:b/>
          <w:highlight w:val="none"/>
          <w:lang w:val="pt-BR"/>
        </w:rPr>
        <w:t>62</w:t>
      </w:r>
      <w:r>
        <w:rPr>
          <w:rFonts w:ascii="Calibri" w:hAnsi="Calibri" w:cs="Calibri"/>
          <w:b/>
          <w:highlight w:val="none"/>
          <w:lang w:val="pt-BR"/>
        </w:rPr>
        <w:t>/2023</w:t>
      </w:r>
    </w:p>
    <w:p>
      <w:pPr>
        <w:tabs>
          <w:tab w:val="left" w:pos="2552"/>
        </w:tabs>
        <w:spacing w:before="11"/>
        <w:rPr>
          <w:rFonts w:ascii="Calibri" w:hAnsi="Calibri" w:cs="Calibri"/>
          <w:b/>
          <w:color w:val="FF0000"/>
          <w:highlight w:val="none"/>
        </w:rPr>
      </w:pPr>
    </w:p>
    <w:p>
      <w:pPr>
        <w:tabs>
          <w:tab w:val="left" w:pos="2552"/>
        </w:tabs>
        <w:ind w:left="358"/>
        <w:rPr>
          <w:rFonts w:ascii="Calibri" w:hAnsi="Calibri" w:cs="Calibri"/>
          <w:b/>
          <w:highlight w:val="none"/>
          <w:lang w:val="pt-BR"/>
        </w:rPr>
      </w:pPr>
      <w:r>
        <w:rPr>
          <w:rFonts w:ascii="Calibri" w:hAnsi="Calibri" w:cs="Calibri"/>
          <w:b/>
          <w:highlight w:val="none"/>
        </w:rPr>
        <w:t>DISPENSA</w:t>
      </w:r>
      <w:r>
        <w:rPr>
          <w:rFonts w:ascii="Calibri" w:hAnsi="Calibri" w:cs="Calibri"/>
          <w:b/>
          <w:spacing w:val="65"/>
          <w:highlight w:val="none"/>
        </w:rPr>
        <w:t xml:space="preserve"> </w:t>
      </w:r>
      <w:r>
        <w:rPr>
          <w:rFonts w:ascii="Calibri" w:hAnsi="Calibri" w:cs="Calibri"/>
          <w:b/>
          <w:highlight w:val="none"/>
        </w:rPr>
        <w:t>Nr.</w:t>
      </w:r>
      <w:r>
        <w:rPr>
          <w:rFonts w:ascii="Calibri" w:hAnsi="Calibri" w:cs="Calibri"/>
          <w:b/>
          <w:highlight w:val="none"/>
        </w:rPr>
        <w:tab/>
      </w:r>
      <w:r>
        <w:rPr>
          <w:rFonts w:ascii="Calibri" w:hAnsi="Calibri" w:cs="Calibri"/>
          <w:b/>
          <w:highlight w:val="none"/>
        </w:rPr>
        <w:t xml:space="preserve"> </w:t>
      </w:r>
      <w:r>
        <w:rPr>
          <w:rFonts w:hint="default" w:ascii="Calibri" w:hAnsi="Calibri" w:cs="Calibri"/>
          <w:b/>
          <w:highlight w:val="none"/>
          <w:lang w:val="pt-BR"/>
        </w:rPr>
        <w:t>22</w:t>
      </w:r>
      <w:r>
        <w:rPr>
          <w:rFonts w:ascii="Calibri" w:hAnsi="Calibri" w:cs="Calibri"/>
          <w:b/>
          <w:highlight w:val="none"/>
        </w:rPr>
        <w:t>/202</w:t>
      </w:r>
      <w:r>
        <w:rPr>
          <w:rFonts w:ascii="Calibri" w:hAnsi="Calibri" w:cs="Calibri"/>
          <w:b/>
          <w:highlight w:val="none"/>
          <w:lang w:val="pt-BR"/>
        </w:rPr>
        <w:t>3</w:t>
      </w:r>
    </w:p>
    <w:p>
      <w:pPr>
        <w:tabs>
          <w:tab w:val="left" w:pos="2552"/>
        </w:tabs>
        <w:ind w:left="358"/>
        <w:rPr>
          <w:rFonts w:ascii="Calibri" w:hAnsi="Calibri" w:cs="Calibri"/>
          <w:b/>
          <w:highlight w:val="none"/>
        </w:rPr>
      </w:pPr>
    </w:p>
    <w:p>
      <w:pPr>
        <w:tabs>
          <w:tab w:val="left" w:pos="2552"/>
        </w:tabs>
        <w:spacing w:before="9"/>
        <w:rPr>
          <w:rFonts w:ascii="Calibri" w:hAnsi="Calibri" w:cs="Calibri"/>
          <w:b/>
        </w:rPr>
      </w:pPr>
    </w:p>
    <w:p>
      <w:pPr>
        <w:tabs>
          <w:tab w:val="left" w:pos="2552"/>
        </w:tabs>
        <w:ind w:left="440" w:leftChars="200" w:firstLine="0" w:firstLineChars="0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</w:rPr>
        <w:t xml:space="preserve">OBJETO:                           </w:t>
      </w:r>
      <w:r>
        <w:rPr>
          <w:rFonts w:ascii="Calibri" w:hAnsi="Calibri" w:cs="Calibri"/>
          <w:sz w:val="22"/>
          <w:szCs w:val="22"/>
          <w:lang w:val="pt-BR"/>
        </w:rPr>
        <w:t xml:space="preserve">Contratação de Empresa para aquisição de </w:t>
      </w:r>
      <w:r>
        <w:rPr>
          <w:rFonts w:hint="default" w:ascii="Calibri" w:hAnsi="Calibri" w:cs="Calibri"/>
          <w:sz w:val="22"/>
          <w:szCs w:val="22"/>
          <w:lang w:val="pt-BR"/>
        </w:rPr>
        <w:t>parabrisa e guarnição parabrisa</w:t>
      </w:r>
      <w:r>
        <w:rPr>
          <w:rFonts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sz w:val="22"/>
          <w:szCs w:val="22"/>
          <w:lang w:val="pt-BR"/>
        </w:rPr>
        <w:t>para o micro ônibus Volare, utilizado para transporte escolar, placa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IPH6347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e aquisição de vidros de janelas laterais para os micro ônibus Volare, placas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IYY8112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e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JAH9C88.</w:t>
      </w:r>
    </w:p>
    <w:p>
      <w:pPr>
        <w:tabs>
          <w:tab w:val="left" w:pos="2552"/>
        </w:tabs>
        <w:ind w:left="220" w:leftChars="100" w:firstLine="0" w:firstLineChars="0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tabs>
          <w:tab w:val="left" w:pos="2552"/>
        </w:tabs>
        <w:ind w:left="358"/>
        <w:rPr>
          <w:rFonts w:hint="default" w:ascii="Calibri" w:hAnsi="Calibri" w:cs="Calibri"/>
          <w:b w:val="0"/>
          <w:bCs/>
          <w:lang w:val="pt-BR"/>
        </w:rPr>
      </w:pPr>
      <w:r>
        <w:rPr>
          <w:rFonts w:ascii="Calibri" w:hAnsi="Calibri" w:cs="Calibri"/>
          <w:b/>
        </w:rPr>
        <w:t xml:space="preserve">ÓRGÃO ATENDIDO:       </w:t>
      </w:r>
      <w:r>
        <w:rPr>
          <w:rFonts w:ascii="Calibri" w:hAnsi="Calibri" w:cs="Calibri"/>
          <w:bCs/>
          <w:lang w:val="pt-BR"/>
        </w:rPr>
        <w:t>Secretaria</w:t>
      </w:r>
      <w:r>
        <w:rPr>
          <w:rFonts w:ascii="Calibri" w:hAnsi="Calibri" w:cs="Calibri"/>
          <w:b/>
        </w:rPr>
        <w:t xml:space="preserve"> </w:t>
      </w:r>
      <w:r>
        <w:rPr>
          <w:rFonts w:hint="default" w:ascii="Calibri" w:hAnsi="Calibri" w:cs="Calibri"/>
          <w:b w:val="0"/>
          <w:bCs/>
          <w:lang w:val="pt-BR"/>
        </w:rPr>
        <w:t>de Educação, Cultura e Desporto.</w:t>
      </w:r>
    </w:p>
    <w:p>
      <w:pPr>
        <w:tabs>
          <w:tab w:val="left" w:pos="2552"/>
        </w:tabs>
        <w:ind w:left="2552"/>
        <w:rPr>
          <w:rFonts w:ascii="Calibri" w:hAnsi="Calibri" w:cs="Calibri"/>
          <w:b w:val="0"/>
          <w:bCs/>
        </w:rPr>
      </w:pPr>
    </w:p>
    <w:p>
      <w:pPr>
        <w:tabs>
          <w:tab w:val="left" w:pos="2552"/>
        </w:tabs>
        <w:rPr>
          <w:rFonts w:ascii="Calibri" w:hAnsi="Calibri" w:cs="Calibri"/>
        </w:rPr>
      </w:pPr>
    </w:p>
    <w:p>
      <w:pPr>
        <w:tabs>
          <w:tab w:val="left" w:pos="2552"/>
        </w:tabs>
        <w:ind w:left="358"/>
        <w:rPr>
          <w:rFonts w:ascii="Calibri" w:hAnsi="Calibri" w:cs="Calibri"/>
        </w:rPr>
      </w:pPr>
      <w:r>
        <w:rPr>
          <w:rFonts w:ascii="Calibri" w:hAnsi="Calibri" w:cs="Calibri"/>
          <w:b/>
        </w:rPr>
        <w:t>RECURSO</w:t>
      </w:r>
      <w:r>
        <w:rPr>
          <w:rFonts w:ascii="Calibri" w:hAnsi="Calibri" w:cs="Calibri"/>
          <w:b/>
          <w:spacing w:val="65"/>
        </w:rPr>
        <w:t xml:space="preserve"> 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Próprios</w:t>
      </w:r>
    </w:p>
    <w:p>
      <w:pPr>
        <w:tabs>
          <w:tab w:val="left" w:pos="2552"/>
        </w:tabs>
        <w:ind w:left="358"/>
        <w:rPr>
          <w:rFonts w:ascii="Calibri" w:hAnsi="Calibri" w:cs="Calibri"/>
        </w:rPr>
      </w:pPr>
    </w:p>
    <w:p>
      <w:pPr>
        <w:tabs>
          <w:tab w:val="left" w:pos="2552"/>
        </w:tabs>
        <w:ind w:left="358"/>
        <w:rPr>
          <w:rFonts w:ascii="Calibri" w:hAnsi="Calibri" w:cs="Calibri"/>
        </w:rPr>
      </w:pPr>
    </w:p>
    <w:p>
      <w:pPr>
        <w:pStyle w:val="9"/>
        <w:tabs>
          <w:tab w:val="left" w:pos="2552"/>
        </w:tabs>
        <w:ind w:left="2837" w:right="510" w:hanging="2483"/>
        <w:jc w:val="both"/>
        <w:rPr>
          <w:rFonts w:hint="default" w:ascii="Calibri" w:hAnsi="Calibri" w:cs="Calibri"/>
          <w:bCs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</w:rPr>
        <w:t xml:space="preserve">DOTAÇÃO  :        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hint="default" w:ascii="Calibri" w:hAnsi="Calibri" w:cs="Calibri"/>
          <w:bCs/>
          <w:sz w:val="22"/>
          <w:szCs w:val="22"/>
          <w:lang w:val="pt-BR"/>
        </w:rPr>
        <w:t>128-3.3.90.30.00.00.00.00.1.576</w:t>
      </w:r>
    </w:p>
    <w:p>
      <w:pPr>
        <w:pStyle w:val="9"/>
        <w:tabs>
          <w:tab w:val="left" w:pos="2552"/>
        </w:tabs>
        <w:ind w:left="2837" w:right="510" w:hanging="2483"/>
        <w:jc w:val="both"/>
        <w:rPr>
          <w:rFonts w:hint="default" w:ascii="Calibri" w:hAnsi="Calibri" w:cs="Calibri"/>
          <w:bCs/>
          <w:sz w:val="22"/>
          <w:szCs w:val="22"/>
          <w:lang w:val="pt-BR"/>
        </w:rPr>
      </w:pPr>
      <w:r>
        <w:rPr>
          <w:rFonts w:hint="default" w:ascii="Calibri" w:hAnsi="Calibri" w:cs="Calibri"/>
          <w:bCs/>
          <w:sz w:val="22"/>
          <w:szCs w:val="22"/>
          <w:lang w:val="pt-BR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>
      <w:pPr>
        <w:pStyle w:val="9"/>
        <w:tabs>
          <w:tab w:val="left" w:pos="2552"/>
        </w:tabs>
        <w:ind w:left="2837" w:right="510" w:hanging="24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>
      <w:pPr>
        <w:pStyle w:val="9"/>
        <w:tabs>
          <w:tab w:val="left" w:pos="2552"/>
        </w:tabs>
        <w:spacing w:before="1"/>
        <w:rPr>
          <w:rFonts w:ascii="Calibri" w:hAnsi="Calibri" w:cs="Calibri"/>
          <w:sz w:val="22"/>
          <w:szCs w:val="22"/>
        </w:rPr>
      </w:pPr>
    </w:p>
    <w:p>
      <w:pPr>
        <w:tabs>
          <w:tab w:val="left" w:pos="2552"/>
        </w:tabs>
        <w:ind w:left="440" w:leftChars="200" w:firstLine="0" w:firstLineChars="0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</w:rPr>
        <w:t>OBJETIVOS  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t-BR"/>
        </w:rPr>
        <w:t xml:space="preserve">Contratação de Empresa para aquisição de </w:t>
      </w:r>
      <w:r>
        <w:rPr>
          <w:rFonts w:hint="default" w:ascii="Calibri" w:hAnsi="Calibri" w:cs="Calibri"/>
          <w:sz w:val="22"/>
          <w:szCs w:val="22"/>
          <w:lang w:val="pt-BR"/>
        </w:rPr>
        <w:t>parabrisa e guarnição parabrisa</w:t>
      </w:r>
      <w:r>
        <w:rPr>
          <w:rFonts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sz w:val="22"/>
          <w:szCs w:val="22"/>
          <w:lang w:val="pt-BR"/>
        </w:rPr>
        <w:t>para o micro ônibus Volare, utilizado para transporte escolar, placa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IPH6347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e aquisição de vidros de janelas laterais para os micro ônibus Volare, placas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IYY8112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e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>JAH9C88.</w:t>
      </w:r>
    </w:p>
    <w:p>
      <w:pPr>
        <w:pStyle w:val="9"/>
        <w:tabs>
          <w:tab w:val="left" w:pos="2552"/>
        </w:tabs>
        <w:spacing w:before="1"/>
        <w:ind w:left="2552" w:hanging="2268"/>
        <w:jc w:val="both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pStyle w:val="9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</w:p>
    <w:p>
      <w:pPr>
        <w:pStyle w:val="9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Tenente Portela, </w:t>
      </w:r>
      <w:r>
        <w:rPr>
          <w:rFonts w:hint="default" w:ascii="Calibri" w:hAnsi="Calibri" w:cs="Calibri"/>
          <w:sz w:val="22"/>
          <w:szCs w:val="22"/>
          <w:lang w:val="pt-BR"/>
        </w:rPr>
        <w:t>29</w:t>
      </w:r>
      <w:r>
        <w:rPr>
          <w:rFonts w:ascii="Calibri" w:hAnsi="Calibri" w:cs="Calibri"/>
          <w:sz w:val="22"/>
          <w:szCs w:val="22"/>
          <w:lang w:val="pt-BR"/>
        </w:rPr>
        <w:t xml:space="preserve"> de maio</w:t>
      </w:r>
      <w:r>
        <w:rPr>
          <w:rFonts w:ascii="Calibri" w:hAnsi="Calibri" w:cs="Calibri"/>
          <w:sz w:val="22"/>
          <w:szCs w:val="22"/>
        </w:rPr>
        <w:t xml:space="preserve"> de 2.02</w:t>
      </w:r>
      <w:r>
        <w:rPr>
          <w:rFonts w:ascii="Calibri" w:hAnsi="Calibri" w:cs="Calibri"/>
          <w:sz w:val="22"/>
          <w:szCs w:val="22"/>
          <w:lang w:val="pt-BR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>
      <w:pPr>
        <w:pStyle w:val="9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344170</wp:posOffset>
                </wp:positionV>
                <wp:extent cx="2459990" cy="1270"/>
                <wp:effectExtent l="11430" t="15240" r="14605" b="12065"/>
                <wp:wrapTopAndBottom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5999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874"/>
                            <a:gd name="T2" fmla="+- 0 5122 1248"/>
                            <a:gd name="T3" fmla="*/ T2 w 3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4">
                              <a:moveTo>
                                <a:pt x="0" y="0"/>
                              </a:moveTo>
                              <a:lnTo>
                                <a:pt x="3874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2.4pt;margin-top:27.1pt;height:0.1pt;width:193.7pt;mso-position-horizontal-relative:page;mso-wrap-distance-bottom:0pt;mso-wrap-distance-top:0pt;z-index:-251655168;mso-width-relative:page;mso-height-relative:page;" filled="f" stroked="t" coordsize="3874,1" o:gfxdata="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NaPgDdgAAAAJAQAADwAAAAAAAAABACAAAAAiAAAAZHJzL2Rvd25yZXYueG1sUEsB&#10;AhQAFAAAAAgAh07iQJHQrTagAgAAxAUAAA4AAAAAAAAAAQAgAAAAJwEAAGRycy9lMm9Eb2MueG1s&#10;UEsFBgAAAAAGAAYAWQEAADkGAAAAAA==&#10;" path="m0,0l3874,0e">
                <v:path o:connectlocs="0,0;2459990,0" o:connectangles="0,0"/>
                <v:fill on="f" focussize="0,0"/>
                <v:stroke weight="1.0674015748031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Rosemar Antonio Sala – Prefeito Municipal</w:t>
      </w: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both"/>
        <w:rPr>
          <w:rFonts w:ascii="Calibri" w:hAnsi="Calibri" w:cs="Calibri"/>
          <w:b/>
        </w:rPr>
      </w:pPr>
    </w:p>
    <w:p>
      <w:pPr>
        <w:jc w:val="both"/>
        <w:rPr>
          <w:rFonts w:ascii="Calibri" w:hAnsi="Calibri" w:cs="Calibri"/>
          <w:b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PREAMBULO</w:t>
      </w:r>
    </w:p>
    <w:p>
      <w:pPr>
        <w:spacing w:before="293" w:line="276" w:lineRule="auto"/>
        <w:ind w:right="199" w:hanging="288"/>
        <w:jc w:val="both"/>
        <w:rPr>
          <w:rFonts w:hint="default" w:ascii="Calibri" w:hAnsi="Calibri" w:cs="Calibri"/>
          <w:lang w:val="pt-BR"/>
        </w:rPr>
      </w:pPr>
      <w:r>
        <w:rPr>
          <w:rFonts w:asciiTheme="minorHAnsi" w:hAnsiTheme="minorHAnsi" w:cstheme="minorHAnsi"/>
        </w:rPr>
        <w:t xml:space="preserve">      O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  <w:b/>
        </w:rPr>
        <w:t>MUNICÍPIO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TENENTE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PORTELA/RS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setor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Compras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Licitações,</w:t>
      </w:r>
      <w:r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através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 xml:space="preserve">Comissão Permanente de Licitação, designada pela Portaria n° 227 de 31 de março de 2023, com a devida autorização expedida pelo Prefeito Municipal  de Tenente Portela/RS, e de conformidade com a Lei n° 8.666, de 21 de junho de 1993, suas alterações e demais legislações aplicáveis, torna público a realização de Processo tipo </w:t>
      </w:r>
      <w:r>
        <w:rPr>
          <w:rFonts w:asciiTheme="minorHAnsi" w:hAnsiTheme="minorHAnsi" w:cstheme="minorHAnsi"/>
          <w:b/>
        </w:rPr>
        <w:t>DISPENSA DE LICITAÇÃO</w:t>
      </w:r>
      <w:r>
        <w:rPr>
          <w:rFonts w:asciiTheme="minorHAnsi" w:hAnsiTheme="minorHAnsi" w:cstheme="minorHAnsi"/>
        </w:rPr>
        <w:t xml:space="preserve">, nos termos dispostos no </w:t>
      </w:r>
      <w:r>
        <w:rPr>
          <w:rFonts w:asciiTheme="minorHAnsi" w:hAnsiTheme="minorHAnsi" w:cstheme="minorHAnsi"/>
          <w:b/>
          <w:color w:val="3C3C3C"/>
        </w:rPr>
        <w:t xml:space="preserve">Art. 24 - Inciso II </w:t>
      </w:r>
      <w:r>
        <w:rPr>
          <w:rFonts w:asciiTheme="minorHAnsi" w:hAnsiTheme="minorHAnsi" w:cstheme="minorHAnsi"/>
        </w:rPr>
        <w:t xml:space="preserve">de Lei 8.666/93, destinada </w:t>
      </w:r>
      <w:r>
        <w:rPr>
          <w:rFonts w:hint="default" w:asciiTheme="minorHAnsi" w:hAnsiTheme="minorHAnsi" w:cstheme="minorHAnsi"/>
          <w:lang w:val="pt-BR"/>
        </w:rPr>
        <w:t>à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lang w:val="pt-BR"/>
        </w:rPr>
        <w:t>contratação de empresa para aquisição d</w:t>
      </w:r>
      <w:r>
        <w:rPr>
          <w:rFonts w:hint="default" w:ascii="Calibri" w:hAnsi="Calibri" w:cs="Calibri"/>
          <w:lang w:val="pt-BR"/>
        </w:rPr>
        <w:t>e parabrisa, guarnição parabrisa e vidros laterais para micro ônibus utilizados para transporte escolar.</w:t>
      </w:r>
    </w:p>
    <w:p>
      <w:pPr>
        <w:spacing w:before="293" w:line="276" w:lineRule="auto"/>
        <w:ind w:right="199" w:hanging="28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OBJETIVO</w:t>
      </w:r>
    </w:p>
    <w:p>
      <w:pPr>
        <w:pStyle w:val="9"/>
        <w:tabs>
          <w:tab w:val="left" w:pos="2552"/>
        </w:tabs>
        <w:spacing w:before="1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Realizar a contratação de </w:t>
      </w:r>
      <w:r>
        <w:rPr>
          <w:rFonts w:ascii="Calibri" w:hAnsi="Calibri" w:cs="Calibri"/>
          <w:sz w:val="22"/>
          <w:szCs w:val="22"/>
          <w:lang w:val="pt-BR"/>
        </w:rPr>
        <w:t xml:space="preserve">empresa para aquisição de 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parabrisa, guarnição parabrisa e vidros laterais </w:t>
      </w:r>
      <w:r>
        <w:rPr>
          <w:rFonts w:ascii="Calibri" w:hAnsi="Calibri" w:cs="Calibri"/>
          <w:sz w:val="22"/>
          <w:szCs w:val="22"/>
          <w:lang w:val="pt-BR"/>
        </w:rPr>
        <w:t xml:space="preserve">para </w:t>
      </w:r>
      <w:r>
        <w:rPr>
          <w:rFonts w:hint="default" w:ascii="Calibri" w:hAnsi="Calibri" w:cs="Calibri"/>
          <w:sz w:val="22"/>
          <w:szCs w:val="22"/>
          <w:lang w:val="pt-BR"/>
        </w:rPr>
        <w:t>micro ônibus utilizados para transporte escolar.</w:t>
      </w:r>
      <w:r>
        <w:rPr>
          <w:rFonts w:ascii="Calibri" w:hAnsi="Calibri" w:cs="Calibri"/>
          <w:sz w:val="22"/>
          <w:szCs w:val="22"/>
          <w:lang w:val="pt-BR"/>
        </w:rPr>
        <w:t xml:space="preserve"> </w:t>
      </w:r>
    </w:p>
    <w:p>
      <w:pPr>
        <w:pStyle w:val="9"/>
        <w:tabs>
          <w:tab w:val="left" w:pos="2552"/>
        </w:tabs>
        <w:spacing w:before="1"/>
        <w:jc w:val="both"/>
        <w:rPr>
          <w:rFonts w:ascii="Calibri" w:hAnsi="Calibri" w:cs="Calibri"/>
          <w:sz w:val="22"/>
          <w:szCs w:val="22"/>
          <w:lang w:val="pt-BR"/>
        </w:rPr>
      </w:pPr>
    </w:p>
    <w:p>
      <w:pPr>
        <w:pStyle w:val="9"/>
        <w:tabs>
          <w:tab w:val="left" w:pos="2552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  <w:lang w:val="pt-BR"/>
        </w:rPr>
      </w:pPr>
      <w:r>
        <w:rPr>
          <w:rFonts w:asciiTheme="minorHAnsi" w:hAnsiTheme="minorHAnsi" w:cstheme="minorHAnsi"/>
          <w:sz w:val="22"/>
          <w:szCs w:val="22"/>
          <w:u w:val="none"/>
          <w:lang w:val="pt-BR"/>
        </w:rPr>
        <w:t>DAS JUSTIFICATIVAS</w:t>
      </w:r>
    </w:p>
    <w:p>
      <w:pPr>
        <w:rPr>
          <w:rFonts w:asciiTheme="minorHAnsi" w:hAnsiTheme="minorHAnsi" w:cstheme="minorHAnsi"/>
          <w:lang w:val="pt-BR"/>
        </w:rPr>
      </w:pPr>
    </w:p>
    <w:p>
      <w:pPr>
        <w:pStyle w:val="9"/>
        <w:tabs>
          <w:tab w:val="left" w:pos="2552"/>
        </w:tabs>
        <w:spacing w:before="1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 xml:space="preserve">Realizar a contratação de </w:t>
      </w:r>
      <w:r>
        <w:rPr>
          <w:rFonts w:ascii="Calibri" w:hAnsi="Calibri" w:cs="Calibri"/>
          <w:sz w:val="22"/>
          <w:szCs w:val="22"/>
          <w:lang w:val="pt-BR"/>
        </w:rPr>
        <w:t xml:space="preserve">empresa para aquisição de 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parabrisa, guarnição parabrisa e vidros laterais </w:t>
      </w:r>
      <w:r>
        <w:rPr>
          <w:rFonts w:ascii="Calibri" w:hAnsi="Calibri" w:cs="Calibri"/>
          <w:sz w:val="22"/>
          <w:szCs w:val="22"/>
          <w:lang w:val="pt-BR"/>
        </w:rPr>
        <w:t xml:space="preserve">para </w:t>
      </w:r>
      <w:r>
        <w:rPr>
          <w:rFonts w:hint="default" w:ascii="Calibri" w:hAnsi="Calibri" w:cs="Calibri"/>
          <w:sz w:val="22"/>
          <w:szCs w:val="22"/>
          <w:lang w:val="pt-BR"/>
        </w:rPr>
        <w:t>micro ônibus Volare, utilizados para transporte escolar.</w:t>
      </w:r>
    </w:p>
    <w:p>
      <w:pPr>
        <w:pStyle w:val="9"/>
        <w:tabs>
          <w:tab w:val="left" w:pos="2552"/>
        </w:tabs>
        <w:spacing w:before="1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A compra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emergencial </w:t>
      </w:r>
      <w:r>
        <w:rPr>
          <w:rFonts w:ascii="Calibri" w:hAnsi="Calibri" w:cs="Calibri"/>
          <w:sz w:val="22"/>
          <w:szCs w:val="22"/>
          <w:lang w:val="pt-BR"/>
        </w:rPr>
        <w:t>se faz necessári</w:t>
      </w:r>
      <w:r>
        <w:rPr>
          <w:rFonts w:hint="default" w:ascii="Calibri" w:hAnsi="Calibri" w:cs="Calibri"/>
          <w:sz w:val="22"/>
          <w:szCs w:val="22"/>
          <w:lang w:val="pt-BR"/>
        </w:rPr>
        <w:t>a em razão da quebra dos vidros e devido ao fato de não haver veículos para substituir. Como estes veículos são utilizados para o transporte escolar, faz-se necessária a aquisição destes itens de forma imediata.</w:t>
      </w:r>
    </w:p>
    <w:p>
      <w:pPr>
        <w:tabs>
          <w:tab w:val="left" w:pos="851"/>
        </w:tabs>
        <w:spacing w:before="6"/>
        <w:ind w:hanging="2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Atendendo aos preceitos legais de tal contratação</w:t>
      </w:r>
      <w:r>
        <w:rPr>
          <w:rFonts w:asciiTheme="minorHAnsi" w:hAnsiTheme="minorHAnsi" w:cstheme="minorHAnsi"/>
          <w:lang w:val="pt-BR"/>
        </w:rPr>
        <w:t>,</w:t>
      </w:r>
      <w:r>
        <w:rPr>
          <w:rFonts w:asciiTheme="minorHAnsi" w:hAnsiTheme="minorHAnsi" w:cstheme="minorHAnsi"/>
        </w:rPr>
        <w:t xml:space="preserve"> a Constituição Federal, em seu art. 37, XXI, ao fazer a exigência da licitação, ressalva que a lei ordinária poderá fixar hipóteses para estabelecer exceções à regra de licitar, que é o que se observa nos dispositivos dos artigos 24 e 25 da Lei 8.666/93, que tratam, respectivamente, de dispensa e inexigibilidade de licitação, vejamos o que diz o inciso XXI do art. 37 da CF.</w:t>
      </w:r>
    </w:p>
    <w:p>
      <w:pPr>
        <w:pStyle w:val="9"/>
        <w:spacing w:before="1"/>
        <w:ind w:left="1701" w:right="211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before="1"/>
        <w:ind w:left="1701" w:right="211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“Art. 37. A administração pública direta e indireta de qualquer dos Poderes da União, dos Estados, do Distrito Federal e dos Municípios obedecerá aos princípios de legalidade, impessoalidade, moralidade, publicidade e eficiência e, também, ao seguinte: </w:t>
      </w:r>
    </w:p>
    <w:p>
      <w:pPr>
        <w:pStyle w:val="9"/>
        <w:spacing w:before="1"/>
        <w:ind w:left="1701" w:right="211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11"/>
        <w:shd w:val="clear" w:color="auto" w:fill="FFFFFF"/>
        <w:spacing w:before="0" w:beforeAutospacing="0" w:after="288" w:afterAutospacing="0"/>
        <w:ind w:left="1701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(...)</w:t>
      </w:r>
    </w:p>
    <w:p>
      <w:pPr>
        <w:pStyle w:val="11"/>
        <w:shd w:val="clear" w:color="auto" w:fill="FFFFFF"/>
        <w:spacing w:before="0" w:beforeAutospacing="0" w:after="288" w:afterAutospacing="0"/>
        <w:ind w:left="1701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obrigações.”</w:t>
      </w:r>
    </w:p>
    <w:p>
      <w:pPr>
        <w:pStyle w:val="11"/>
        <w:shd w:val="clear" w:color="auto" w:fill="FFFFFF"/>
        <w:spacing w:before="0" w:beforeAutospacing="0" w:after="288" w:afterAutospacing="0"/>
        <w:ind w:left="284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Quanto à abrang</w:t>
      </w:r>
      <w:r>
        <w:rPr>
          <w:rFonts w:eastAsia="Arial" w:asciiTheme="minorHAnsi" w:hAnsiTheme="minorHAnsi" w:cstheme="minorHAnsi"/>
          <w:sz w:val="22"/>
          <w:szCs w:val="22"/>
          <w:lang w:eastAsia="en-US"/>
        </w:rPr>
        <w:t>ê</w:t>
      </w: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ncia e previsão na Lei das Licitações, 8.666/93, a previsão encontra guarida em seu artigo 24, inciso II, por se tratar de serviço de baixo valor, conforme o que segue:</w:t>
      </w:r>
    </w:p>
    <w:p>
      <w:pPr>
        <w:pStyle w:val="11"/>
        <w:shd w:val="clear" w:color="auto" w:fill="FFFFFF"/>
        <w:spacing w:before="0" w:beforeAutospacing="0" w:after="0" w:afterAutospacing="0"/>
        <w:ind w:left="1701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“Art. 24.  É dispensável a licitação:</w:t>
      </w:r>
    </w:p>
    <w:p>
      <w:pPr>
        <w:pStyle w:val="11"/>
        <w:spacing w:after="0" w:afterAutospacing="0"/>
        <w:ind w:left="1843" w:hanging="142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bookmarkStart w:id="0" w:name="art24i."/>
      <w:bookmarkEnd w:id="0"/>
      <w:bookmarkStart w:id="1" w:name="art24ii."/>
      <w:bookmarkEnd w:id="1"/>
      <w:bookmarkStart w:id="2" w:name="art24ii"/>
      <w:bookmarkEnd w:id="2"/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(...)</w:t>
      </w:r>
    </w:p>
    <w:p>
      <w:pPr>
        <w:pStyle w:val="11"/>
        <w:spacing w:after="0" w:afterAutospacing="0"/>
        <w:ind w:left="1843" w:hanging="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>
      <w:pPr>
        <w:tabs>
          <w:tab w:val="left" w:pos="663"/>
        </w:tabs>
        <w:spacing w:before="6"/>
        <w:ind w:left="374"/>
        <w:jc w:val="both"/>
        <w:rPr>
          <w:rFonts w:asciiTheme="minorHAnsi" w:hAnsiTheme="minorHAnsi" w:cstheme="minorHAnsi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DO CRITÉRIO DE JULGAMENTO </w:t>
      </w:r>
    </w:p>
    <w:p>
      <w:pPr>
        <w:spacing w:before="293"/>
        <w:ind w:right="199" w:hanging="2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julgamento das propostas/orçamentos apresentados será tipo menor valor </w:t>
      </w: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por item</w:t>
      </w:r>
      <w:r>
        <w:rPr>
          <w:rFonts w:asciiTheme="minorHAnsi" w:hAnsiTheme="minorHAnsi" w:cstheme="minorHAnsi"/>
        </w:rPr>
        <w:t>.</w:t>
      </w:r>
    </w:p>
    <w:p>
      <w:pPr>
        <w:spacing w:before="293"/>
        <w:ind w:right="199" w:hanging="288"/>
        <w:jc w:val="both"/>
        <w:rPr>
          <w:rFonts w:asciiTheme="minorHAnsi" w:hAnsiTheme="minorHAnsi" w:cstheme="minorHAnsi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DAS EXIGÊNCIAS e ATRIBUIÇÕES </w:t>
      </w:r>
    </w:p>
    <w:p>
      <w:pPr>
        <w:rPr>
          <w:rFonts w:asciiTheme="minorHAnsi" w:hAnsiTheme="minorHAnsi" w:cstheme="minorHAnsi"/>
        </w:rPr>
      </w:pP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  <w:lang w:val="pt-BR"/>
        </w:rPr>
      </w:pPr>
      <w:r>
        <w:rPr>
          <w:rFonts w:eastAsia="Arial" w:asciiTheme="minorHAnsi" w:hAnsiTheme="minorHAnsi" w:cstheme="minorHAnsi"/>
          <w:sz w:val="22"/>
          <w:szCs w:val="22"/>
        </w:rPr>
        <w:t>5.1- Os itens objetos da presente dispensa de licitação deverão ser entregues no local informado na Solicitação de fornecimento</w:t>
      </w:r>
      <w:r>
        <w:rPr>
          <w:rFonts w:eastAsia="Arial" w:asciiTheme="minorHAnsi" w:hAnsiTheme="minorHAnsi" w:cstheme="minorHAnsi"/>
          <w:sz w:val="22"/>
          <w:szCs w:val="22"/>
          <w:lang w:val="pt-BR"/>
        </w:rPr>
        <w:t>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 5.2 – Todo e qualquer custo referente à entrega ou outros que por ventura sobrevierem, deverão ser suportado pela contratada, ficando a contratante obrigada apenas com o pagamento dos valores previsto neste termo de dispensa.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5.3 – Verificado que o objeto não condiz com as especificações previstas neste termo de dispensa, ou que apresente qualquer defeito, a contratante poderá exigir sua imediata substituição, devendo as custas para tanto ser de responsabilidade da contratada.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5.4 – O prazo para a entrega do objeto da presente dispensa será de 20 (vinte) dias, a contar da solicitação.</w:t>
      </w: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DA CONTRATADA </w:t>
      </w:r>
    </w:p>
    <w:p>
      <w:pPr>
        <w:rPr>
          <w:rFonts w:asciiTheme="minorHAnsi" w:hAnsiTheme="minorHAnsi" w:cstheme="minorHAnsi"/>
        </w:rPr>
      </w:pPr>
    </w:p>
    <w:p>
      <w:pPr>
        <w:pStyle w:val="9"/>
        <w:tabs>
          <w:tab w:val="left" w:pos="3811"/>
          <w:tab w:val="left" w:pos="7824"/>
        </w:tabs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Fica contratada  para fornecimento de hospedagem objeto deste Processo de   Dispensa   de   Licitação a  empresa: </w:t>
      </w:r>
      <w:r>
        <w:rPr>
          <w:rFonts w:hint="default" w:eastAsia="Arial" w:asciiTheme="minorHAnsi" w:hAnsiTheme="minorHAnsi" w:cstheme="minorHAnsi"/>
          <w:b/>
          <w:bCs/>
          <w:sz w:val="22"/>
          <w:szCs w:val="22"/>
          <w:lang w:val="pt-BR"/>
        </w:rPr>
        <w:t xml:space="preserve">NOROESTE PEÇAS E ACESSÓRIOS LTDA- </w:t>
      </w:r>
      <w:r>
        <w:rPr>
          <w:rFonts w:eastAsia="Arial" w:asciiTheme="minorHAnsi" w:hAnsiTheme="minorHAnsi" w:cstheme="minorHAnsi"/>
          <w:sz w:val="22"/>
          <w:szCs w:val="22"/>
        </w:rPr>
        <w:t xml:space="preserve">Endereço: 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Avenida Ijuí</w:t>
      </w:r>
      <w:r>
        <w:rPr>
          <w:rFonts w:eastAsia="Arial" w:asciiTheme="minorHAnsi" w:hAnsiTheme="minorHAnsi" w:cstheme="minorHAnsi"/>
          <w:sz w:val="22"/>
          <w:szCs w:val="22"/>
        </w:rPr>
        <w:t>,</w:t>
      </w:r>
      <w:r>
        <w:rPr>
          <w:rFonts w:eastAsia="Arial"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 xml:space="preserve">685. </w:t>
      </w:r>
      <w:r>
        <w:rPr>
          <w:rFonts w:eastAsia="Arial" w:asciiTheme="minorHAnsi" w:hAnsiTheme="minorHAnsi" w:cstheme="minorHAnsi"/>
          <w:sz w:val="22"/>
          <w:szCs w:val="22"/>
          <w:lang w:val="pt-BR"/>
        </w:rPr>
        <w:t xml:space="preserve">Tenente Portela/RS </w:t>
      </w:r>
      <w:r>
        <w:rPr>
          <w:rFonts w:eastAsia="Arial" w:asciiTheme="minorHAnsi" w:hAnsiTheme="minorHAnsi" w:cstheme="minorHAnsi"/>
          <w:sz w:val="22"/>
          <w:szCs w:val="22"/>
        </w:rPr>
        <w:t xml:space="preserve">– CEP: </w:t>
      </w:r>
      <w:r>
        <w:rPr>
          <w:rFonts w:eastAsia="Arial" w:asciiTheme="minorHAnsi" w:hAnsiTheme="minorHAnsi" w:cstheme="minorHAnsi"/>
          <w:sz w:val="22"/>
          <w:szCs w:val="22"/>
          <w:lang w:val="pt-BR"/>
        </w:rPr>
        <w:t>98500-000.</w:t>
      </w:r>
    </w:p>
    <w:p>
      <w:pPr>
        <w:pStyle w:val="9"/>
        <w:tabs>
          <w:tab w:val="left" w:pos="3811"/>
          <w:tab w:val="left" w:pos="7824"/>
        </w:tabs>
        <w:spacing w:line="276" w:lineRule="auto"/>
        <w:ind w:right="194"/>
        <w:jc w:val="both"/>
        <w:rPr>
          <w:rFonts w:hint="default" w:eastAsia="Arial" w:asciiTheme="minorHAnsi" w:hAnsiTheme="minorHAnsi" w:cstheme="minorHAnsi"/>
          <w:b/>
          <w:bCs/>
          <w:sz w:val="22"/>
          <w:szCs w:val="22"/>
          <w:highlight w:val="yellow"/>
          <w:lang w:val="pt-BR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DA DOCUMENTAÇÃO PARA CONTRATAÇÃO </w:t>
      </w:r>
    </w:p>
    <w:p>
      <w:pPr>
        <w:rPr>
          <w:rFonts w:asciiTheme="minorHAnsi" w:hAnsiTheme="minorHAnsi" w:cstheme="minorHAnsi"/>
        </w:rPr>
      </w:pPr>
    </w:p>
    <w:p>
      <w:pPr>
        <w:pStyle w:val="18"/>
        <w:numPr>
          <w:ilvl w:val="0"/>
          <w:numId w:val="2"/>
        </w:numPr>
        <w:spacing w:line="276" w:lineRule="auto"/>
        <w:ind w:right="194"/>
        <w:rPr>
          <w:rFonts w:eastAsia="Arial"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eastAsia="Arial" w:asciiTheme="minorHAnsi" w:hAnsiTheme="minorHAnsi" w:cstheme="minorHAnsi"/>
        </w:rPr>
        <w:t>Certidão Negativa Municipal de Tenente Portela/RS.</w:t>
      </w:r>
    </w:p>
    <w:p>
      <w:pPr>
        <w:pStyle w:val="18"/>
        <w:numPr>
          <w:ilvl w:val="0"/>
          <w:numId w:val="2"/>
        </w:numPr>
        <w:tabs>
          <w:tab w:val="left" w:pos="562"/>
        </w:tabs>
        <w:spacing w:line="276" w:lineRule="auto"/>
        <w:ind w:left="284" w:right="194" w:hanging="335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>- Certificado de Regularidade do FGTS.</w:t>
      </w:r>
    </w:p>
    <w:p>
      <w:pPr>
        <w:pStyle w:val="18"/>
        <w:numPr>
          <w:ilvl w:val="0"/>
          <w:numId w:val="2"/>
        </w:numPr>
        <w:tabs>
          <w:tab w:val="left" w:pos="538"/>
        </w:tabs>
        <w:spacing w:line="276" w:lineRule="auto"/>
        <w:ind w:left="284" w:right="194" w:hanging="311"/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– Certidão Negativa da União / INSS / Previdência Social.</w:t>
      </w:r>
    </w:p>
    <w:p>
      <w:pPr>
        <w:pStyle w:val="18"/>
        <w:numPr>
          <w:ilvl w:val="0"/>
          <w:numId w:val="2"/>
        </w:numPr>
        <w:tabs>
          <w:tab w:val="left" w:pos="562"/>
        </w:tabs>
        <w:spacing w:before="1" w:line="276" w:lineRule="auto"/>
        <w:ind w:left="284" w:right="194" w:hanging="335"/>
        <w:rPr>
          <w:rFonts w:eastAsia="Arial" w:asciiTheme="minorHAnsi" w:hAnsiTheme="minorHAnsi" w:cstheme="minorHAnsi"/>
          <w:color w:val="auto"/>
        </w:rPr>
      </w:pPr>
      <w:r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eastAsia="Arial" w:asciiTheme="minorHAnsi" w:hAnsiTheme="minorHAnsi" w:cstheme="minorHAnsi"/>
          <w:color w:val="auto"/>
        </w:rPr>
        <w:t>Certidão Negativa Estadual.</w:t>
      </w:r>
    </w:p>
    <w:p>
      <w:pPr>
        <w:pStyle w:val="18"/>
        <w:numPr>
          <w:ilvl w:val="0"/>
          <w:numId w:val="2"/>
        </w:numPr>
        <w:tabs>
          <w:tab w:val="left" w:pos="553"/>
        </w:tabs>
        <w:spacing w:before="1" w:line="276" w:lineRule="auto"/>
        <w:ind w:left="284" w:right="194" w:hanging="326"/>
        <w:rPr>
          <w:rFonts w:eastAsia="Arial" w:asciiTheme="minorHAnsi" w:hAnsiTheme="minorHAnsi" w:cstheme="minorHAnsi"/>
          <w:color w:val="auto"/>
        </w:rPr>
      </w:pPr>
      <w:r>
        <w:rPr>
          <w:rFonts w:eastAsia="Arial" w:asciiTheme="minorHAnsi" w:hAnsiTheme="minorHAnsi" w:cstheme="minorHAnsi"/>
          <w:color w:val="auto"/>
        </w:rPr>
        <w:t>- Certidão Negativa Trabalhista.</w:t>
      </w:r>
    </w:p>
    <w:p>
      <w:pPr>
        <w:pStyle w:val="18"/>
        <w:numPr>
          <w:ilvl w:val="0"/>
          <w:numId w:val="2"/>
        </w:numPr>
        <w:tabs>
          <w:tab w:val="left" w:pos="553"/>
        </w:tabs>
        <w:spacing w:before="1" w:line="276" w:lineRule="auto"/>
        <w:ind w:left="284" w:right="194" w:hanging="326"/>
        <w:rPr>
          <w:rFonts w:eastAsia="Arial" w:asciiTheme="minorHAnsi" w:hAnsiTheme="minorHAnsi" w:cstheme="minorHAnsi"/>
          <w:color w:val="auto"/>
        </w:rPr>
      </w:pPr>
      <w:r>
        <w:rPr>
          <w:rFonts w:eastAsia="Arial" w:asciiTheme="minorHAnsi" w:hAnsiTheme="minorHAnsi" w:cstheme="minorHAnsi"/>
          <w:color w:val="auto"/>
        </w:rPr>
        <w:t>– Declaração que não emprega meno</w:t>
      </w:r>
      <w:r>
        <w:rPr>
          <w:rFonts w:eastAsia="Arial" w:asciiTheme="minorHAnsi" w:hAnsiTheme="minorHAnsi" w:cstheme="minorHAnsi"/>
          <w:color w:val="auto"/>
          <w:lang w:val="pt-BR"/>
        </w:rPr>
        <w:t>r</w:t>
      </w:r>
      <w:r>
        <w:rPr>
          <w:rFonts w:eastAsia="Arial" w:asciiTheme="minorHAnsi" w:hAnsiTheme="minorHAnsi" w:cstheme="minorHAnsi"/>
          <w:color w:val="auto"/>
        </w:rPr>
        <w:t xml:space="preserve"> de 18 anos de idade.</w:t>
      </w:r>
    </w:p>
    <w:p>
      <w:pPr>
        <w:pStyle w:val="9"/>
        <w:spacing w:line="276" w:lineRule="auto"/>
        <w:ind w:right="194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DO VALOR do CONTRATADO </w:t>
      </w:r>
      <w:r>
        <w:rPr>
          <w:rFonts w:hint="default" w:asciiTheme="minorHAnsi" w:hAnsiTheme="minorHAnsi" w:cstheme="minorHAnsi"/>
          <w:sz w:val="22"/>
          <w:szCs w:val="22"/>
          <w:u w:val="none"/>
          <w:lang w:val="pt-BR"/>
        </w:rPr>
        <w:t xml:space="preserve"> </w:t>
      </w:r>
    </w:p>
    <w:p>
      <w:pPr>
        <w:rPr>
          <w:rFonts w:hint="default" w:asciiTheme="minorHAnsi" w:hAnsiTheme="minorHAnsi" w:cstheme="minorHAnsi"/>
          <w:sz w:val="22"/>
          <w:szCs w:val="22"/>
          <w:u w:val="none"/>
          <w:lang w:val="pt-BR"/>
        </w:rPr>
      </w:pPr>
    </w:p>
    <w:p>
      <w:pPr>
        <w:rPr>
          <w:rFonts w:asciiTheme="minorHAnsi" w:hAnsiTheme="minorHAnsi" w:cstheme="minorHAnsi"/>
        </w:rPr>
      </w:pPr>
    </w:p>
    <w:p>
      <w:pPr>
        <w:pStyle w:val="18"/>
        <w:tabs>
          <w:tab w:val="left" w:pos="725"/>
        </w:tabs>
        <w:spacing w:line="276" w:lineRule="auto"/>
        <w:ind w:right="194"/>
        <w:jc w:val="both"/>
        <w:rPr>
          <w:rFonts w:eastAsia="Arial" w:asciiTheme="minorHAnsi" w:hAnsiTheme="minorHAnsi" w:cstheme="minorHAnsi"/>
          <w:highlight w:val="none"/>
        </w:rPr>
      </w:pPr>
      <w:r>
        <w:rPr>
          <w:rFonts w:eastAsia="Arial" w:asciiTheme="minorHAnsi" w:hAnsiTheme="minorHAnsi" w:cstheme="minorHAnsi"/>
        </w:rPr>
        <w:t>Valor total do contrato é de</w:t>
      </w:r>
      <w:r>
        <w:rPr>
          <w:rFonts w:eastAsia="Arial" w:asciiTheme="minorHAnsi" w:hAnsiTheme="minorHAnsi" w:cstheme="minorHAnsi"/>
          <w:highlight w:val="none"/>
        </w:rPr>
        <w:t xml:space="preserve">: </w:t>
      </w:r>
      <w:r>
        <w:rPr>
          <w:rFonts w:eastAsia="Arial" w:asciiTheme="minorHAnsi" w:hAnsiTheme="minorHAnsi" w:cstheme="minorHAnsi"/>
          <w:b/>
          <w:highlight w:val="none"/>
        </w:rPr>
        <w:t xml:space="preserve">R$ </w:t>
      </w:r>
      <w:r>
        <w:rPr>
          <w:rFonts w:hint="default" w:eastAsia="Arial" w:asciiTheme="minorHAnsi" w:hAnsiTheme="minorHAnsi" w:cstheme="minorHAnsi"/>
          <w:b/>
          <w:highlight w:val="none"/>
          <w:lang w:val="pt-BR"/>
        </w:rPr>
        <w:t>5.400,00</w:t>
      </w:r>
      <w:r>
        <w:rPr>
          <w:rFonts w:eastAsia="Arial" w:asciiTheme="minorHAnsi" w:hAnsiTheme="minorHAnsi" w:cstheme="minorHAnsi"/>
          <w:b/>
          <w:highlight w:val="none"/>
        </w:rPr>
        <w:t xml:space="preserve">  </w:t>
      </w:r>
      <w:r>
        <w:rPr>
          <w:rFonts w:eastAsia="Arial" w:asciiTheme="minorHAnsi" w:hAnsiTheme="minorHAnsi" w:cstheme="minorHAnsi"/>
          <w:highlight w:val="none"/>
        </w:rPr>
        <w:t>(</w:t>
      </w:r>
      <w:r>
        <w:rPr>
          <w:rFonts w:hint="default" w:eastAsia="Arial" w:asciiTheme="minorHAnsi" w:hAnsiTheme="minorHAnsi" w:cstheme="minorHAnsi"/>
          <w:highlight w:val="none"/>
          <w:lang w:val="pt-BR"/>
        </w:rPr>
        <w:t>cinco mil e quatrocentos reais</w:t>
      </w:r>
      <w:r>
        <w:rPr>
          <w:rFonts w:eastAsia="Arial" w:asciiTheme="minorHAnsi" w:hAnsiTheme="minorHAnsi" w:cstheme="minorHAnsi"/>
          <w:highlight w:val="none"/>
        </w:rPr>
        <w:t>).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  <w:highlight w:val="none"/>
        </w:rPr>
      </w:pPr>
    </w:p>
    <w:p>
      <w:pPr>
        <w:pStyle w:val="9"/>
        <w:spacing w:line="276" w:lineRule="auto"/>
        <w:ind w:right="194"/>
        <w:jc w:val="both"/>
        <w:rPr>
          <w:rFonts w:hint="default" w:eastAsia="Arial" w:asciiTheme="minorHAnsi" w:hAnsiTheme="minorHAnsi" w:cstheme="minorHAnsi"/>
          <w:sz w:val="22"/>
          <w:szCs w:val="22"/>
          <w:lang w:val="pt-BR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DO PAGAMENTO</w:t>
      </w:r>
    </w:p>
    <w:p>
      <w:pPr>
        <w:rPr>
          <w:rFonts w:asciiTheme="minorHAnsi" w:hAnsiTheme="minorHAnsi" w:cstheme="minorHAnsi"/>
        </w:rPr>
      </w:pPr>
    </w:p>
    <w:p>
      <w:pPr>
        <w:pStyle w:val="18"/>
        <w:tabs>
          <w:tab w:val="left" w:pos="716"/>
          <w:tab w:val="left" w:pos="969"/>
        </w:tabs>
        <w:spacing w:before="4" w:line="276" w:lineRule="auto"/>
        <w:ind w:left="0" w:right="194"/>
        <w:jc w:val="both"/>
        <w:rPr>
          <w:rFonts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>O pagamento será realizado em até 30 (trinta) dias após a entrega</w:t>
      </w:r>
      <w:r>
        <w:rPr>
          <w:rFonts w:asciiTheme="minorHAnsi" w:hAnsiTheme="minorHAnsi" w:cstheme="minorHAnsi"/>
        </w:rPr>
        <w:t>.</w:t>
      </w:r>
    </w:p>
    <w:p>
      <w:pPr>
        <w:pStyle w:val="9"/>
        <w:spacing w:before="6" w:line="276" w:lineRule="auto"/>
        <w:ind w:right="19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DA DOTAÇÃO ORÇAMENTÁRIA</w:t>
      </w:r>
    </w:p>
    <w:p/>
    <w:p>
      <w:pPr>
        <w:pStyle w:val="9"/>
        <w:tabs>
          <w:tab w:val="left" w:pos="2552"/>
        </w:tabs>
        <w:ind w:left="2837" w:right="510" w:hanging="2483"/>
        <w:jc w:val="both"/>
        <w:rPr>
          <w:rFonts w:hint="default" w:ascii="Calibri" w:hAnsi="Calibri" w:cs="Calibri"/>
          <w:bCs/>
          <w:sz w:val="22"/>
          <w:szCs w:val="22"/>
          <w:lang w:val="pt-BR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hint="default" w:ascii="Calibri" w:hAnsi="Calibri" w:cs="Calibri"/>
          <w:bCs/>
          <w:sz w:val="22"/>
          <w:szCs w:val="22"/>
          <w:lang w:val="pt-BR"/>
        </w:rPr>
        <w:t>128-3.3.90.30.00.00.00.00.1.576</w:t>
      </w:r>
    </w:p>
    <w:p>
      <w:pPr>
        <w:rPr>
          <w:highlight w:val="yellow"/>
        </w:rPr>
      </w:pPr>
    </w:p>
    <w:p>
      <w:pPr>
        <w:pStyle w:val="9"/>
        <w:ind w:righ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DA</w:t>
      </w:r>
      <w:r>
        <w:rPr>
          <w:rFonts w:asciiTheme="minorHAnsi" w:hAnsiTheme="minorHAnsi" w:cstheme="minorHAnsi"/>
          <w:sz w:val="22"/>
          <w:szCs w:val="22"/>
          <w:u w:val="none"/>
        </w:rPr>
        <w:tab/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FISCALIZAÇÃO </w:t>
      </w:r>
    </w:p>
    <w:p>
      <w:pPr>
        <w:rPr>
          <w:rFonts w:asciiTheme="minorHAnsi" w:hAnsiTheme="minorHAnsi" w:cstheme="minorHAnsi"/>
        </w:rPr>
      </w:pPr>
    </w:p>
    <w:p>
      <w:pPr>
        <w:pStyle w:val="18"/>
        <w:tabs>
          <w:tab w:val="left" w:pos="716"/>
          <w:tab w:val="left" w:pos="969"/>
        </w:tabs>
        <w:spacing w:before="4" w:line="276" w:lineRule="auto"/>
        <w:ind w:left="0" w:right="194"/>
        <w:jc w:val="both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       A Fiscalização do contrato que se Originará deste termo de dispensa será de responsabilidade do Secretário Responsável pela Pasta que solicitou a aquisição e/ou por funcionário por este designado, conforme previsto em Portaria Municipal Nr. 444/2016. </w:t>
      </w:r>
    </w:p>
    <w:p>
      <w:pPr>
        <w:pStyle w:val="18"/>
        <w:tabs>
          <w:tab w:val="left" w:pos="716"/>
          <w:tab w:val="left" w:pos="969"/>
        </w:tabs>
        <w:spacing w:before="4" w:line="276" w:lineRule="auto"/>
        <w:ind w:left="0" w:right="194"/>
        <w:jc w:val="both"/>
        <w:rPr>
          <w:rFonts w:eastAsia="Arial" w:asciiTheme="minorHAnsi" w:hAnsiTheme="minorHAnsi" w:cstheme="minorHAnsi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DO FORO</w:t>
      </w:r>
    </w:p>
    <w:p>
      <w:pPr>
        <w:rPr>
          <w:rFonts w:asciiTheme="minorHAnsi" w:hAnsiTheme="minorHAnsi" w:cstheme="minorHAnsi"/>
        </w:rPr>
      </w:pP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Fica eleito o Foro da Comarca de Tenente Portela/RS, para dirimir todas as questões deste Termo de Dispensa que não forem resolvidas por via administrativa ou por arbitramento, na forma do Código Civil.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before="240"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Tenente Portela/RS, 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29</w:t>
      </w:r>
      <w:r>
        <w:rPr>
          <w:rFonts w:eastAsia="Arial" w:asciiTheme="minorHAnsi" w:hAnsiTheme="minorHAnsi" w:cstheme="minorHAnsi"/>
          <w:sz w:val="22"/>
          <w:szCs w:val="22"/>
          <w:lang w:val="pt-BR"/>
        </w:rPr>
        <w:t xml:space="preserve"> de maio</w:t>
      </w:r>
      <w:r>
        <w:rPr>
          <w:rFonts w:eastAsia="Arial" w:asciiTheme="minorHAnsi" w:hAnsiTheme="minorHAnsi" w:cstheme="minorHAnsi"/>
          <w:sz w:val="22"/>
          <w:szCs w:val="22"/>
        </w:rPr>
        <w:t xml:space="preserve"> de 202</w:t>
      </w:r>
      <w:r>
        <w:rPr>
          <w:rFonts w:eastAsia="Arial" w:asciiTheme="minorHAnsi" w:hAnsiTheme="minorHAnsi" w:cstheme="minorHAnsi"/>
          <w:sz w:val="22"/>
          <w:szCs w:val="22"/>
          <w:lang w:val="pt-BR"/>
        </w:rPr>
        <w:t>3</w:t>
      </w:r>
      <w:r>
        <w:rPr>
          <w:rFonts w:eastAsia="Arial" w:asciiTheme="minorHAnsi" w:hAnsiTheme="minorHAnsi" w:cstheme="minorHAnsi"/>
          <w:sz w:val="22"/>
          <w:szCs w:val="22"/>
        </w:rPr>
        <w:t>.</w:t>
      </w:r>
    </w:p>
    <w:p>
      <w:pPr>
        <w:pStyle w:val="9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jc w:val="center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______________________________</w:t>
      </w: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  <w:b/>
        </w:rPr>
        <w:t xml:space="preserve">Rosemar Antonio Sala </w:t>
      </w: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Prefeito Municipal </w:t>
      </w:r>
    </w:p>
    <w:p>
      <w:pPr>
        <w:pStyle w:val="9"/>
        <w:spacing w:line="276" w:lineRule="auto"/>
        <w:rPr>
          <w:rFonts w:eastAsia="Arial"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2"/>
        <w:tabs>
          <w:tab w:val="left" w:pos="3467"/>
        </w:tabs>
        <w:spacing w:before="1" w:line="276" w:lineRule="auto"/>
        <w:ind w:left="0" w:right="194"/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pStyle w:val="2"/>
        <w:tabs>
          <w:tab w:val="left" w:pos="3467"/>
        </w:tabs>
        <w:spacing w:before="1" w:line="276" w:lineRule="auto"/>
        <w:ind w:left="0" w:right="194"/>
        <w:rPr>
          <w:rFonts w:asciiTheme="minorHAnsi" w:hAnsiTheme="minorHAnsi" w:cstheme="minorHAnsi"/>
          <w:sz w:val="22"/>
          <w:szCs w:val="22"/>
          <w:u w:val="thick"/>
        </w:rPr>
      </w:pPr>
      <w:r>
        <w:rPr>
          <w:rFonts w:asciiTheme="minorHAnsi" w:hAnsiTheme="minorHAnsi" w:cstheme="minorHAnsi"/>
          <w:sz w:val="22"/>
          <w:szCs w:val="22"/>
          <w:u w:val="thick"/>
        </w:rPr>
        <w:t>Anexo 1</w:t>
      </w:r>
      <w:r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thick"/>
        </w:rPr>
        <w:t>–</w:t>
      </w:r>
      <w:r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thick"/>
        </w:rPr>
        <w:t>Relação de Itens</w:t>
      </w:r>
    </w:p>
    <w:p/>
    <w:tbl>
      <w:tblPr>
        <w:tblStyle w:val="16"/>
        <w:tblpPr w:leftFromText="180" w:rightFromText="180" w:vertAnchor="text" w:horzAnchor="page" w:tblpX="1594" w:tblpY="3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347"/>
        <w:gridCol w:w="1298"/>
        <w:gridCol w:w="1298"/>
        <w:gridCol w:w="139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30" w:type="dxa"/>
          </w:tcPr>
          <w:p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3347" w:type="dxa"/>
          </w:tcPr>
          <w:p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298" w:type="dxa"/>
          </w:tcPr>
          <w:p>
            <w:pPr>
              <w:spacing w:line="360" w:lineRule="auto"/>
              <w:jc w:val="center"/>
              <w:rPr>
                <w:rFonts w:hint="default" w:asciiTheme="minorHAnsi" w:hAnsiTheme="minorHAnsi" w:cstheme="minorHAnsi"/>
                <w:b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lang w:val="pt-BR"/>
              </w:rPr>
              <w:t>Placa</w:t>
            </w:r>
          </w:p>
        </w:tc>
        <w:tc>
          <w:tcPr>
            <w:tcW w:w="1298" w:type="dxa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unitário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30" w:type="dxa"/>
          </w:tcPr>
          <w:p>
            <w:pPr>
              <w:spacing w:line="360" w:lineRule="auto"/>
              <w:jc w:val="both"/>
              <w:rPr>
                <w:rFonts w:hint="default" w:asciiTheme="minorHAnsi" w:hAnsiTheme="minorHAnsi" w:cstheme="minorHAnsi"/>
                <w:b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t-BR"/>
              </w:rPr>
              <w:t>1</w:t>
            </w:r>
          </w:p>
        </w:tc>
        <w:tc>
          <w:tcPr>
            <w:tcW w:w="3347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Parabrisa para micro-ônibus Volare</w:t>
            </w:r>
          </w:p>
        </w:tc>
        <w:tc>
          <w:tcPr>
            <w:tcW w:w="1298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IPI1431</w:t>
            </w:r>
          </w:p>
        </w:tc>
        <w:tc>
          <w:tcPr>
            <w:tcW w:w="1298" w:type="dxa"/>
          </w:tcPr>
          <w:p>
            <w:pPr>
              <w:spacing w:line="360" w:lineRule="auto"/>
              <w:ind w:firstLine="550" w:firstLineChars="250"/>
              <w:jc w:val="both"/>
              <w:rPr>
                <w:rFonts w:hint="default" w:asciiTheme="minorHAnsi" w:hAnsiTheme="minorHAnsi" w:cstheme="minorHAnsi"/>
                <w:lang w:val="pt-BR"/>
              </w:rPr>
            </w:pPr>
            <w:r>
              <w:rPr>
                <w:rFonts w:hint="default" w:asciiTheme="minorHAnsi" w:hAnsiTheme="minorHAnsi" w:cstheme="minorHAnsi"/>
                <w:lang w:val="pt-BR"/>
              </w:rPr>
              <w:t>01</w:t>
            </w:r>
          </w:p>
        </w:tc>
        <w:tc>
          <w:tcPr>
            <w:tcW w:w="1395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R$3.900,00</w:t>
            </w:r>
          </w:p>
        </w:tc>
        <w:tc>
          <w:tcPr>
            <w:tcW w:w="1417" w:type="dxa"/>
          </w:tcPr>
          <w:p>
            <w:pPr>
              <w:jc w:val="both"/>
              <w:rPr>
                <w:rFonts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R$3.900,00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0" w:type="dxa"/>
          </w:tcPr>
          <w:p>
            <w:pPr>
              <w:spacing w:line="360" w:lineRule="auto"/>
              <w:jc w:val="both"/>
              <w:rPr>
                <w:rFonts w:hint="default" w:asciiTheme="minorHAnsi" w:hAnsiTheme="minorHAnsi" w:cstheme="minorHAnsi"/>
                <w:b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t-BR"/>
              </w:rPr>
              <w:t>2</w:t>
            </w:r>
          </w:p>
        </w:tc>
        <w:tc>
          <w:tcPr>
            <w:tcW w:w="3347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Guarnição Parabrisa para micro-ônibus Volare</w:t>
            </w:r>
          </w:p>
        </w:tc>
        <w:tc>
          <w:tcPr>
            <w:tcW w:w="1298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IPI1431</w:t>
            </w:r>
          </w:p>
        </w:tc>
        <w:tc>
          <w:tcPr>
            <w:tcW w:w="1298" w:type="dxa"/>
          </w:tcPr>
          <w:p>
            <w:pPr>
              <w:spacing w:line="360" w:lineRule="auto"/>
              <w:ind w:firstLine="550" w:firstLineChars="250"/>
              <w:jc w:val="both"/>
              <w:rPr>
                <w:rFonts w:hint="default" w:asciiTheme="minorHAnsi" w:hAnsiTheme="minorHAnsi" w:cstheme="minorHAnsi"/>
                <w:lang w:val="pt-BR"/>
              </w:rPr>
            </w:pPr>
            <w:r>
              <w:rPr>
                <w:rFonts w:hint="default" w:asciiTheme="minorHAnsi" w:hAnsiTheme="minorHAnsi" w:cstheme="minorHAnsi"/>
                <w:lang w:val="pt-BR"/>
              </w:rPr>
              <w:t>01</w:t>
            </w:r>
          </w:p>
        </w:tc>
        <w:tc>
          <w:tcPr>
            <w:tcW w:w="1395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R$650,00</w:t>
            </w:r>
          </w:p>
        </w:tc>
        <w:tc>
          <w:tcPr>
            <w:tcW w:w="1417" w:type="dxa"/>
          </w:tcPr>
          <w:p>
            <w:pPr>
              <w:jc w:val="both"/>
              <w:rPr>
                <w:rFonts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R$650,00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0" w:type="dxa"/>
          </w:tcPr>
          <w:p>
            <w:pPr>
              <w:spacing w:line="360" w:lineRule="auto"/>
              <w:jc w:val="both"/>
              <w:rPr>
                <w:rFonts w:hint="default" w:asciiTheme="minorHAnsi" w:hAnsiTheme="minorHAnsi" w:cstheme="minorHAnsi"/>
                <w:b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t-BR"/>
              </w:rPr>
              <w:t>3</w:t>
            </w:r>
          </w:p>
        </w:tc>
        <w:tc>
          <w:tcPr>
            <w:tcW w:w="3347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Vidro Janela lado esquerdo</w:t>
            </w:r>
          </w:p>
        </w:tc>
        <w:tc>
          <w:tcPr>
            <w:tcW w:w="1298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IYY8112</w:t>
            </w:r>
          </w:p>
        </w:tc>
        <w:tc>
          <w:tcPr>
            <w:tcW w:w="1298" w:type="dxa"/>
          </w:tcPr>
          <w:p>
            <w:pPr>
              <w:spacing w:line="360" w:lineRule="auto"/>
              <w:ind w:firstLine="550" w:firstLineChars="250"/>
              <w:jc w:val="both"/>
              <w:rPr>
                <w:rFonts w:hint="default" w:asciiTheme="minorHAnsi" w:hAnsiTheme="minorHAnsi" w:cstheme="minorHAnsi"/>
                <w:lang w:val="pt-BR"/>
              </w:rPr>
            </w:pPr>
            <w:r>
              <w:rPr>
                <w:rFonts w:hint="default" w:asciiTheme="minorHAnsi" w:hAnsiTheme="minorHAnsi" w:cstheme="minorHAnsi"/>
                <w:lang w:val="pt-BR"/>
              </w:rPr>
              <w:t>01</w:t>
            </w:r>
          </w:p>
        </w:tc>
        <w:tc>
          <w:tcPr>
            <w:tcW w:w="1395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R$410,00</w:t>
            </w:r>
          </w:p>
        </w:tc>
        <w:tc>
          <w:tcPr>
            <w:tcW w:w="1417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R$410,00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0" w:type="dxa"/>
          </w:tcPr>
          <w:p>
            <w:pPr>
              <w:spacing w:line="360" w:lineRule="auto"/>
              <w:jc w:val="both"/>
              <w:rPr>
                <w:rFonts w:hint="default" w:asciiTheme="minorHAnsi" w:hAnsiTheme="minorHAnsi" w:cstheme="minorHAnsi"/>
                <w:b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t-BR"/>
              </w:rPr>
              <w:t>4</w:t>
            </w:r>
          </w:p>
        </w:tc>
        <w:tc>
          <w:tcPr>
            <w:tcW w:w="3347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Vidro Janela lado esquerdo</w:t>
            </w:r>
          </w:p>
        </w:tc>
        <w:tc>
          <w:tcPr>
            <w:tcW w:w="1298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JAH9C88</w:t>
            </w:r>
          </w:p>
        </w:tc>
        <w:tc>
          <w:tcPr>
            <w:tcW w:w="1298" w:type="dxa"/>
          </w:tcPr>
          <w:p>
            <w:pPr>
              <w:spacing w:line="360" w:lineRule="auto"/>
              <w:ind w:firstLine="550" w:firstLineChars="250"/>
              <w:jc w:val="both"/>
              <w:rPr>
                <w:rFonts w:hint="default" w:asciiTheme="minorHAnsi" w:hAnsiTheme="minorHAnsi" w:cstheme="minorHAnsi"/>
                <w:lang w:val="pt-BR"/>
              </w:rPr>
            </w:pPr>
            <w:r>
              <w:rPr>
                <w:rFonts w:hint="default" w:asciiTheme="minorHAnsi" w:hAnsiTheme="minorHAnsi" w:cstheme="minorHAnsi"/>
                <w:lang w:val="pt-BR"/>
              </w:rPr>
              <w:t>01</w:t>
            </w:r>
          </w:p>
        </w:tc>
        <w:tc>
          <w:tcPr>
            <w:tcW w:w="1395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R$440,00</w:t>
            </w:r>
          </w:p>
        </w:tc>
        <w:tc>
          <w:tcPr>
            <w:tcW w:w="1417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R$440,00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485" w:type="dxa"/>
            <w:gridSpan w:val="6"/>
          </w:tcPr>
          <w:p>
            <w:pPr>
              <w:ind w:firstLine="7260" w:firstLineChars="3300"/>
              <w:jc w:val="both"/>
              <w:rPr>
                <w:rFonts w:asciiTheme="minorHAnsi" w:hAnsiTheme="minorHAnsi" w:cstheme="minorHAnsi"/>
                <w:bCs/>
                <w:lang w:val="pt-BR"/>
              </w:rPr>
            </w:pPr>
            <w:r>
              <w:rPr>
                <w:rFonts w:asciiTheme="minorHAnsi" w:hAnsiTheme="minorHAnsi" w:cstheme="minorHAnsi"/>
                <w:bCs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>Total:  R$</w:t>
            </w:r>
            <w:r>
              <w:rPr>
                <w:rFonts w:hint="default" w:asciiTheme="minorHAnsi" w:hAnsiTheme="minorHAnsi" w:cstheme="minorHAnsi"/>
                <w:b/>
                <w:bCs/>
                <w:lang w:val="pt-BR"/>
              </w:rPr>
              <w:t>5.400,00</w:t>
            </w:r>
          </w:p>
        </w:tc>
      </w:tr>
    </w:tbl>
    <w:p/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pStyle w:val="9"/>
        <w:rPr>
          <w:rFonts w:ascii="Calibri" w:hAnsi="Calibri" w:eastAsia="Arial" w:cs="Calibri"/>
          <w:b/>
          <w:sz w:val="22"/>
          <w:szCs w:val="22"/>
        </w:rPr>
      </w:pPr>
      <w:r>
        <w:rPr>
          <w:rFonts w:hint="default" w:ascii="Calibri" w:hAnsi="Calibri" w:eastAsia="Arial" w:cs="Calibri"/>
          <w:b/>
          <w:sz w:val="22"/>
          <w:szCs w:val="22"/>
          <w:lang w:val="pt-BR"/>
        </w:rPr>
        <w:t>Proposta Vencedora</w:t>
      </w:r>
      <w:r>
        <w:rPr>
          <w:rFonts w:ascii="Calibri" w:hAnsi="Calibri" w:eastAsia="Arial" w:cs="Calibri"/>
          <w:b/>
          <w:sz w:val="22"/>
          <w:szCs w:val="22"/>
        </w:rPr>
        <w:t>:</w:t>
      </w:r>
    </w:p>
    <w:p>
      <w:pPr>
        <w:pStyle w:val="9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numPr>
          <w:ilvl w:val="0"/>
          <w:numId w:val="3"/>
        </w:numPr>
        <w:rPr>
          <w:rFonts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Noroeste Peças e Acessórios Ltda</w:t>
      </w:r>
      <w:r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CNPJ: </w:t>
      </w: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93.703.239/0001-09 - valor total de R$ 5.400,00</w:t>
      </w:r>
    </w:p>
    <w:p>
      <w:pPr>
        <w:pStyle w:val="9"/>
        <w:numPr>
          <w:ilvl w:val="0"/>
          <w:numId w:val="0"/>
        </w:numPr>
        <w:ind w:left="-212" w:leftChars="0"/>
        <w:rPr>
          <w:rFonts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ind w:left="-212" w:leftChars="0"/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Demais propostas apresentadas:</w:t>
      </w:r>
    </w:p>
    <w:p>
      <w:pPr>
        <w:pStyle w:val="9"/>
        <w:numPr>
          <w:ilvl w:val="0"/>
          <w:numId w:val="0"/>
        </w:numPr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3"/>
        </w:numPr>
        <w:rPr>
          <w:rFonts w:ascii="Calibri" w:hAnsi="Calibri" w:cs="Calibri"/>
          <w:lang w:val="pt-BR"/>
        </w:rPr>
      </w:pPr>
      <w:r>
        <w:rPr>
          <w:rFonts w:hint="default" w:ascii="Calibri" w:hAnsi="Calibri" w:cs="Calibri"/>
          <w:lang w:val="pt-BR"/>
        </w:rPr>
        <w:t xml:space="preserve"> </w:t>
      </w: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Mecânica Neucar Ltda</w:t>
      </w:r>
      <w:r>
        <w:rPr>
          <w:rFonts w:ascii="Calibri" w:hAnsi="Calibri" w:eastAsia="Arial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-  CNPJ:</w:t>
      </w:r>
      <w:r>
        <w:rPr>
          <w:rFonts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10.378.760/0001-90</w:t>
      </w:r>
      <w:r>
        <w:rPr>
          <w:rFonts w:ascii="Calibri" w:hAnsi="Calibri" w:eastAsia="Arial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–  </w:t>
      </w:r>
      <w:r>
        <w:rPr>
          <w:rFonts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valor </w:t>
      </w: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total</w:t>
      </w:r>
      <w:r>
        <w:rPr>
          <w:rFonts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de </w:t>
      </w:r>
      <w:r>
        <w:rPr>
          <w:rFonts w:ascii="Calibri" w:hAnsi="Calibri" w:eastAsia="Arial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R$ </w:t>
      </w: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4.720,00- SOMENTE ITENS 1 e 2 (R$4.000,00 e R$720,00 respectivamente).</w:t>
      </w:r>
    </w:p>
    <w:p>
      <w:pPr>
        <w:pStyle w:val="9"/>
        <w:numPr>
          <w:ilvl w:val="0"/>
          <w:numId w:val="3"/>
        </w:numP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Gilson Cesar Forsch- CNPJ: 14.630.317/0001-16 - valor total de R$ 4.720,00- SOMENTE ITENS 1 e 2 (R$4.000,00 e R$720,00 respectivamente).</w:t>
      </w:r>
    </w:p>
    <w:p>
      <w:pPr>
        <w:pStyle w:val="9"/>
        <w:numPr>
          <w:ilvl w:val="0"/>
          <w:numId w:val="3"/>
        </w:numP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AVG Comércio de Peças e Serviços Automotivos LTDA- CNPJ 09.034.191/0001-87- valor total de R$900,00 (R$450,00 cada item)- SOMENTE PARA OS  ITENS 3 e 4.</w:t>
      </w:r>
    </w:p>
    <w:p>
      <w:pPr>
        <w:pStyle w:val="9"/>
        <w:numPr>
          <w:ilvl w:val="0"/>
          <w:numId w:val="3"/>
        </w:numP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Mecânica Top Car LTDA- CNPJ: 47.751.788/0001-31- Valor total de R$900,00 (R$450,00 cada item)- SOMENTE PARA OS  ITENS 3 e 4.</w:t>
      </w:r>
    </w:p>
    <w:p>
      <w:pPr>
        <w:pStyle w:val="9"/>
        <w:numPr>
          <w:ilvl w:val="0"/>
          <w:numId w:val="0"/>
        </w:numPr>
        <w:ind w:left="-212" w:leftChars="0"/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ind w:left="-212" w:leftChars="0"/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ind w:left="148"/>
        <w:rPr>
          <w:rFonts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  <w:bookmarkStart w:id="3" w:name="_GoBack"/>
      <w:bookmarkEnd w:id="3"/>
    </w:p>
    <w:p>
      <w:pPr>
        <w:tabs>
          <w:tab w:val="left" w:pos="542"/>
          <w:tab w:val="left" w:pos="2325"/>
        </w:tabs>
        <w:spacing w:before="99" w:line="276" w:lineRule="auto"/>
        <w:ind w:right="19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PARECER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JURÍDICO</w:t>
      </w: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center"/>
        <w:rPr>
          <w:rFonts w:asciiTheme="minorHAnsi" w:hAnsiTheme="minorHAnsi" w:cstheme="minorHAnsi"/>
          <w:b/>
        </w:rPr>
      </w:pPr>
    </w:p>
    <w:p>
      <w:pPr>
        <w:pStyle w:val="5"/>
        <w:spacing w:before="241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highlight w:val="none"/>
          <w:u w:val="none"/>
          <w:lang w:val="pt-BR"/>
        </w:rPr>
      </w:pPr>
      <w:r>
        <w:rPr>
          <w:rFonts w:asciiTheme="minorHAnsi" w:hAnsiTheme="minorHAnsi" w:cstheme="minorHAnsi"/>
          <w:sz w:val="22"/>
          <w:szCs w:val="22"/>
          <w:highlight w:val="none"/>
          <w:u w:val="thick"/>
        </w:rPr>
        <w:t xml:space="preserve">Processo de Licitação- Nr. </w:t>
      </w:r>
      <w:r>
        <w:rPr>
          <w:rFonts w:hint="default" w:asciiTheme="minorHAnsi" w:hAnsiTheme="minorHAnsi" w:cstheme="minorHAnsi"/>
          <w:sz w:val="22"/>
          <w:szCs w:val="22"/>
          <w:highlight w:val="none"/>
          <w:u w:val="thick"/>
          <w:lang w:val="pt-BR"/>
        </w:rPr>
        <w:t>62</w:t>
      </w:r>
      <w:r>
        <w:rPr>
          <w:rFonts w:asciiTheme="minorHAnsi" w:hAnsiTheme="minorHAnsi" w:cstheme="minorHAnsi"/>
          <w:sz w:val="22"/>
          <w:szCs w:val="22"/>
          <w:highlight w:val="none"/>
          <w:u w:val="thick"/>
        </w:rPr>
        <w:t>/ 202</w:t>
      </w:r>
      <w:r>
        <w:rPr>
          <w:rFonts w:asciiTheme="minorHAnsi" w:hAnsiTheme="minorHAnsi" w:cstheme="minorHAnsi"/>
          <w:sz w:val="22"/>
          <w:szCs w:val="22"/>
          <w:highlight w:val="none"/>
          <w:u w:val="thick"/>
          <w:lang w:val="pt-BR"/>
        </w:rPr>
        <w:t>3</w:t>
      </w:r>
    </w:p>
    <w:p>
      <w:pPr>
        <w:spacing w:before="100" w:line="276" w:lineRule="auto"/>
        <w:ind w:right="194"/>
        <w:jc w:val="both"/>
        <w:rPr>
          <w:rFonts w:asciiTheme="minorHAnsi" w:hAnsiTheme="minorHAnsi" w:cstheme="minorHAnsi"/>
          <w:b/>
          <w:highlight w:val="yellow"/>
          <w:lang w:val="pt-BR"/>
        </w:rPr>
      </w:pPr>
      <w:r>
        <w:rPr>
          <w:rFonts w:asciiTheme="minorHAnsi" w:hAnsiTheme="minorHAnsi" w:cstheme="minorHAnsi"/>
          <w:b/>
          <w:highlight w:val="none"/>
          <w:u w:val="thick"/>
        </w:rPr>
        <w:t xml:space="preserve">Dispensa de Licitação - Nr. </w:t>
      </w:r>
      <w:r>
        <w:rPr>
          <w:rFonts w:hint="default" w:asciiTheme="minorHAnsi" w:hAnsiTheme="minorHAnsi" w:cstheme="minorHAnsi"/>
          <w:b/>
          <w:highlight w:val="none"/>
          <w:u w:val="thick"/>
          <w:lang w:val="pt-BR"/>
        </w:rPr>
        <w:t>22</w:t>
      </w:r>
      <w:r>
        <w:rPr>
          <w:rFonts w:asciiTheme="minorHAnsi" w:hAnsiTheme="minorHAnsi" w:cstheme="minorHAnsi"/>
          <w:b/>
          <w:highlight w:val="none"/>
          <w:u w:val="thick"/>
        </w:rPr>
        <w:t>/ 202</w:t>
      </w:r>
      <w:r>
        <w:rPr>
          <w:rFonts w:asciiTheme="minorHAnsi" w:hAnsiTheme="minorHAnsi" w:cstheme="minorHAnsi"/>
          <w:b/>
          <w:highlight w:val="none"/>
          <w:u w:val="thick"/>
          <w:lang w:val="pt-BR"/>
        </w:rPr>
        <w:t>3</w:t>
      </w: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before="9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00" w:line="276" w:lineRule="auto"/>
        <w:ind w:right="19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u w:val="thick"/>
        </w:rPr>
        <w:t>EMENTA: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 w:cs="Calibri"/>
        </w:rPr>
        <w:t>Dispensa de licitação</w:t>
      </w:r>
    </w:p>
    <w:p>
      <w:pPr>
        <w:pStyle w:val="9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before="1" w:line="276" w:lineRule="auto"/>
        <w:ind w:right="194" w:hanging="1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 contratação por dispensa de licitação com fulcro no artigo 24, inciso II, da Lei no 8.666/93, deve ser precedida de definição do objeto e motivação da dispensa, quanto ao ato legal e quanto às especificações do objeto. Além disso, deve haver previsão orçamentária para tanto. Quanto ao contrato, é necessário exigir as certidões de regularidade fiscal. Considerando que todos os requisitos foram observados e cumpridos, o parecer é pela legalidade do processo em apreço.</w:t>
      </w:r>
    </w:p>
    <w:p>
      <w:pPr>
        <w:pStyle w:val="9"/>
        <w:spacing w:line="276" w:lineRule="auto"/>
        <w:ind w:right="194" w:hanging="1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Após a elaboração do ato de dispensa, o mesmo deve ser submetido à autoridade competente para homologação. Em seguida, deve ser providenciada a publicação do contrato, nos termos do art. 61, parágrafo único da Lei 8666/93.</w:t>
      </w:r>
    </w:p>
    <w:p>
      <w:pPr>
        <w:pStyle w:val="9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before="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Tenente Portela/RS, 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29</w:t>
      </w:r>
      <w:r>
        <w:rPr>
          <w:rFonts w:ascii="Calibri" w:hAnsi="Calibri" w:eastAsia="Arial" w:cs="Calibri"/>
          <w:sz w:val="22"/>
          <w:szCs w:val="22"/>
          <w:lang w:val="pt-BR"/>
        </w:rPr>
        <w:t xml:space="preserve"> de maio</w:t>
      </w:r>
      <w:r>
        <w:rPr>
          <w:rFonts w:ascii="Calibri" w:hAnsi="Calibri" w:eastAsia="Arial" w:cs="Calibri"/>
          <w:sz w:val="22"/>
          <w:szCs w:val="22"/>
        </w:rPr>
        <w:t xml:space="preserve"> de 202</w:t>
      </w:r>
      <w:r>
        <w:rPr>
          <w:rFonts w:ascii="Calibri" w:hAnsi="Calibri" w:eastAsia="Arial" w:cs="Calibri"/>
          <w:sz w:val="22"/>
          <w:szCs w:val="22"/>
          <w:lang w:val="pt-BR"/>
        </w:rPr>
        <w:t>3</w:t>
      </w:r>
      <w:r>
        <w:rPr>
          <w:rFonts w:ascii="Calibri" w:hAnsi="Calibri" w:eastAsia="Arial" w:cs="Calibri"/>
          <w:sz w:val="22"/>
          <w:szCs w:val="22"/>
        </w:rPr>
        <w:t>.</w:t>
      </w:r>
    </w:p>
    <w:p>
      <w:pPr>
        <w:pStyle w:val="9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line="276" w:lineRule="auto"/>
        <w:jc w:val="center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__________________________________</w:t>
      </w:r>
    </w:p>
    <w:p>
      <w:pPr>
        <w:pStyle w:val="24"/>
        <w:spacing w:line="276" w:lineRule="auto"/>
        <w:ind w:left="-142"/>
        <w:jc w:val="center"/>
        <w:rPr>
          <w:rFonts w:eastAsia="Arial"/>
          <w:b w:val="0"/>
          <w:bCs w:val="0"/>
          <w:u w:val="none"/>
        </w:rPr>
      </w:pPr>
      <w:r>
        <w:rPr>
          <w:rFonts w:eastAsia="Arial"/>
          <w:b w:val="0"/>
          <w:bCs w:val="0"/>
          <w:u w:val="none"/>
        </w:rPr>
        <w:t>JONAS DE MOURA - OAB-RS: 87.834</w:t>
      </w:r>
    </w:p>
    <w:p>
      <w:pPr>
        <w:spacing w:line="276" w:lineRule="auto"/>
        <w:ind w:left="3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Assessor Jurídico</w:t>
      </w:r>
    </w:p>
    <w:p>
      <w:pPr>
        <w:spacing w:line="276" w:lineRule="auto"/>
        <w:ind w:right="194" w:hang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>
      <w:pPr>
        <w:spacing w:line="300" w:lineRule="exact"/>
        <w:ind w:left="77"/>
        <w:jc w:val="center"/>
        <w:rPr>
          <w:rFonts w:ascii="Calibri" w:hAnsi="Calibri" w:cs="Calibri"/>
        </w:rPr>
      </w:pPr>
    </w:p>
    <w:sectPr>
      <w:headerReference r:id="rId3" w:type="default"/>
      <w:footerReference r:id="rId4" w:type="default"/>
      <w:pgSz w:w="11900" w:h="16850"/>
      <w:pgMar w:top="1400" w:right="500" w:bottom="780" w:left="960" w:header="284" w:footer="58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10146665</wp:posOffset>
              </wp:positionV>
              <wp:extent cx="6348730" cy="8890"/>
              <wp:effectExtent l="0" t="0" r="0" b="0"/>
              <wp:wrapNone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87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tângulo 3" o:spid="_x0000_s1026" o:spt="1" style="position:absolute;left:0pt;margin-left:60.95pt;margin-top:798.95pt;height:0.7pt;width:499.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yhW+NgA&#10;AAAOAQAADwAAAAAAAAABACAAAAAiAAAAZHJzL2Rvd25yZXYueG1sUEsBAhQAFAAAAAgAh07iQLV5&#10;zKqtAQAAYQMAAA4AAAAAAAAAAQAgAAAAJwEAAGRycy9lMm9Eb2MueG1sUEsFBgAAAAAGAAYAWQEA&#10;AEY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5848350</wp:posOffset>
              </wp:positionH>
              <wp:positionV relativeFrom="page">
                <wp:posOffset>10163175</wp:posOffset>
              </wp:positionV>
              <wp:extent cx="70485" cy="17843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w w:val="97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460.5pt;margin-top:800.25pt;height:14.05pt;width:5.55pt;mso-position-horizontal-relative:page;mso-position-vertical-relative:page;z-index:-251656192;mso-width-relative:page;mso-height-relative:page;" filled="f" stroked="f" coordsize="21600,21600" o:gfxdata="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pv&#10;CinaAAAADQEAAA8AAAAAAAAAAQAgAAAAIgAAAGRycy9kb3ducmV2LnhtbFBLAQIUABQAAAAIAIdO&#10;4kD5JBPXrwEAAHU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7"/>
                        <w:sz w:val="2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1236980</wp:posOffset>
              </wp:positionH>
              <wp:positionV relativeFrom="page">
                <wp:posOffset>10205720</wp:posOffset>
              </wp:positionV>
              <wp:extent cx="4006850" cy="178435"/>
              <wp:effectExtent l="0" t="0" r="0" b="0"/>
              <wp:wrapNone/>
              <wp:docPr id="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Praça Tenente Portela, 23 – Centro – 98500.000 - Fone: 55-3551-3400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97.4pt;margin-top:803.6pt;height:14.05pt;width:315.5pt;mso-position-horizontal-relative:page;mso-position-vertical-relative:page;z-index:-251656192;mso-width-relative:page;mso-height-relative:page;" filled="f" stroked="f" coordsize="21600,21600" o:gfxdata="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h6&#10;wj7aAAAADQEAAA8AAAAAAAAAAQAgAAAAIgAAAGRycy9kb3ducmV2LnhtbFBLAQIUABQAAAAIAIdO&#10;4kCsDOuh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Praça Tenente Portela, 23 – Centro – 98500.000 - Fone: 55-3551-3400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284"/>
      <w:rPr>
        <w:sz w:val="20"/>
      </w:rPr>
    </w:pPr>
    <w:r>
      <w:rPr>
        <w:lang w:val="pt-BR" w:eastAsia="pt-BR"/>
      </w:rPr>
      <w:drawing>
        <wp:inline distT="0" distB="0" distL="114300" distR="114300">
          <wp:extent cx="6181725" cy="1123950"/>
          <wp:effectExtent l="19050" t="0" r="9525" b="0"/>
          <wp:docPr id="2" name="Imagem 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7272F1"/>
    <w:multiLevelType w:val="multilevel"/>
    <w:tmpl w:val="2F7272F1"/>
    <w:lvl w:ilvl="0" w:tentative="0">
      <w:start w:val="1"/>
      <w:numFmt w:val="decimal"/>
      <w:lvlText w:val="%1-"/>
      <w:lvlJc w:val="left"/>
      <w:pPr>
        <w:ind w:left="14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868" w:hanging="360"/>
      </w:pPr>
    </w:lvl>
    <w:lvl w:ilvl="2" w:tentative="0">
      <w:start w:val="1"/>
      <w:numFmt w:val="lowerRoman"/>
      <w:lvlText w:val="%3."/>
      <w:lvlJc w:val="right"/>
      <w:pPr>
        <w:ind w:left="1588" w:hanging="180"/>
      </w:pPr>
    </w:lvl>
    <w:lvl w:ilvl="3" w:tentative="0">
      <w:start w:val="1"/>
      <w:numFmt w:val="decimal"/>
      <w:lvlText w:val="%4."/>
      <w:lvlJc w:val="left"/>
      <w:pPr>
        <w:ind w:left="2308" w:hanging="360"/>
      </w:pPr>
    </w:lvl>
    <w:lvl w:ilvl="4" w:tentative="0">
      <w:start w:val="1"/>
      <w:numFmt w:val="lowerLetter"/>
      <w:lvlText w:val="%5."/>
      <w:lvlJc w:val="left"/>
      <w:pPr>
        <w:ind w:left="3028" w:hanging="360"/>
      </w:pPr>
    </w:lvl>
    <w:lvl w:ilvl="5" w:tentative="0">
      <w:start w:val="1"/>
      <w:numFmt w:val="lowerRoman"/>
      <w:lvlText w:val="%6."/>
      <w:lvlJc w:val="right"/>
      <w:pPr>
        <w:ind w:left="3748" w:hanging="180"/>
      </w:pPr>
    </w:lvl>
    <w:lvl w:ilvl="6" w:tentative="0">
      <w:start w:val="1"/>
      <w:numFmt w:val="decimal"/>
      <w:lvlText w:val="%7."/>
      <w:lvlJc w:val="left"/>
      <w:pPr>
        <w:ind w:left="4468" w:hanging="360"/>
      </w:pPr>
    </w:lvl>
    <w:lvl w:ilvl="7" w:tentative="0">
      <w:start w:val="1"/>
      <w:numFmt w:val="lowerLetter"/>
      <w:lvlText w:val="%8."/>
      <w:lvlJc w:val="left"/>
      <w:pPr>
        <w:ind w:left="5188" w:hanging="360"/>
      </w:pPr>
    </w:lvl>
    <w:lvl w:ilvl="8" w:tentative="0">
      <w:start w:val="1"/>
      <w:numFmt w:val="lowerRoman"/>
      <w:lvlText w:val="%9."/>
      <w:lvlJc w:val="right"/>
      <w:pPr>
        <w:ind w:left="5908" w:hanging="180"/>
      </w:pPr>
    </w:lvl>
  </w:abstractNum>
  <w:abstractNum w:abstractNumId="1">
    <w:nsid w:val="41121204"/>
    <w:multiLevelType w:val="multilevel"/>
    <w:tmpl w:val="41121204"/>
    <w:lvl w:ilvl="0" w:tentative="0">
      <w:start w:val="1"/>
      <w:numFmt w:val="lowerLetter"/>
      <w:lvlText w:val="%1)"/>
      <w:lvlJc w:val="left"/>
      <w:pPr>
        <w:ind w:left="322" w:hanging="322"/>
      </w:pPr>
      <w:rPr>
        <w:rFonts w:eastAsia="Tahoma" w:asciiTheme="minorHAnsi" w:hAnsiTheme="minorHAnsi" w:cstheme="minorHAnsi"/>
        <w:b/>
        <w:bCs/>
        <w:color w:val="000000" w:themeColor="text1"/>
        <w:w w:val="99"/>
        <w:sz w:val="24"/>
        <w:szCs w:val="24"/>
        <w:u w:val="thick" w:color="000000"/>
        <w:lang w:val="pt-PT" w:eastAsia="en-US" w:bidi="ar-SA"/>
        <w14:textFill>
          <w14:solidFill>
            <w14:schemeClr w14:val="tx1"/>
          </w14:solidFill>
        </w14:textFill>
      </w:rPr>
    </w:lvl>
    <w:lvl w:ilvl="1" w:tentative="0">
      <w:start w:val="0"/>
      <w:numFmt w:val="bullet"/>
      <w:lvlText w:val="•"/>
      <w:lvlJc w:val="left"/>
      <w:pPr>
        <w:ind w:left="1526" w:hanging="32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2" w:hanging="32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98" w:hanging="32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4" w:hanging="32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70" w:hanging="32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56" w:hanging="32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42" w:hanging="32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8" w:hanging="322"/>
      </w:pPr>
      <w:rPr>
        <w:rFonts w:hint="default"/>
        <w:lang w:val="pt-PT" w:eastAsia="en-US" w:bidi="ar-SA"/>
      </w:rPr>
    </w:lvl>
  </w:abstractNum>
  <w:abstractNum w:abstractNumId="2">
    <w:nsid w:val="58ED4CBF"/>
    <w:multiLevelType w:val="multilevel"/>
    <w:tmpl w:val="58ED4CBF"/>
    <w:lvl w:ilvl="0" w:tentative="0">
      <w:start w:val="1"/>
      <w:numFmt w:val="decimal"/>
      <w:lvlText w:val="%1-"/>
      <w:lvlJc w:val="left"/>
      <w:pPr>
        <w:ind w:left="623" w:hanging="39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07" w:hanging="360"/>
      </w:pPr>
    </w:lvl>
    <w:lvl w:ilvl="2" w:tentative="0">
      <w:start w:val="1"/>
      <w:numFmt w:val="lowerRoman"/>
      <w:lvlText w:val="%3."/>
      <w:lvlJc w:val="right"/>
      <w:pPr>
        <w:ind w:left="2027" w:hanging="180"/>
      </w:pPr>
    </w:lvl>
    <w:lvl w:ilvl="3" w:tentative="0">
      <w:start w:val="1"/>
      <w:numFmt w:val="decimal"/>
      <w:lvlText w:val="%4."/>
      <w:lvlJc w:val="left"/>
      <w:pPr>
        <w:ind w:left="2747" w:hanging="360"/>
      </w:pPr>
    </w:lvl>
    <w:lvl w:ilvl="4" w:tentative="0">
      <w:start w:val="1"/>
      <w:numFmt w:val="lowerLetter"/>
      <w:lvlText w:val="%5."/>
      <w:lvlJc w:val="left"/>
      <w:pPr>
        <w:ind w:left="3467" w:hanging="360"/>
      </w:pPr>
    </w:lvl>
    <w:lvl w:ilvl="5" w:tentative="0">
      <w:start w:val="1"/>
      <w:numFmt w:val="lowerRoman"/>
      <w:lvlText w:val="%6."/>
      <w:lvlJc w:val="right"/>
      <w:pPr>
        <w:ind w:left="4187" w:hanging="180"/>
      </w:pPr>
    </w:lvl>
    <w:lvl w:ilvl="6" w:tentative="0">
      <w:start w:val="1"/>
      <w:numFmt w:val="decimal"/>
      <w:lvlText w:val="%7."/>
      <w:lvlJc w:val="left"/>
      <w:pPr>
        <w:ind w:left="4907" w:hanging="360"/>
      </w:pPr>
    </w:lvl>
    <w:lvl w:ilvl="7" w:tentative="0">
      <w:start w:val="1"/>
      <w:numFmt w:val="lowerLetter"/>
      <w:lvlText w:val="%8."/>
      <w:lvlJc w:val="left"/>
      <w:pPr>
        <w:ind w:left="5627" w:hanging="360"/>
      </w:pPr>
    </w:lvl>
    <w:lvl w:ilvl="8" w:tentative="0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FD"/>
    <w:rsid w:val="00023653"/>
    <w:rsid w:val="00040A25"/>
    <w:rsid w:val="000452F0"/>
    <w:rsid w:val="00067422"/>
    <w:rsid w:val="00074924"/>
    <w:rsid w:val="00076A37"/>
    <w:rsid w:val="0008642D"/>
    <w:rsid w:val="00087EAB"/>
    <w:rsid w:val="000B4648"/>
    <w:rsid w:val="000B6983"/>
    <w:rsid w:val="000D235C"/>
    <w:rsid w:val="000E170D"/>
    <w:rsid w:val="000E4E2D"/>
    <w:rsid w:val="000E4FD8"/>
    <w:rsid w:val="000F729E"/>
    <w:rsid w:val="00157B05"/>
    <w:rsid w:val="0017501B"/>
    <w:rsid w:val="0018001A"/>
    <w:rsid w:val="00196AA4"/>
    <w:rsid w:val="00203E1B"/>
    <w:rsid w:val="002042AB"/>
    <w:rsid w:val="00207051"/>
    <w:rsid w:val="00213A75"/>
    <w:rsid w:val="00245D21"/>
    <w:rsid w:val="002510E7"/>
    <w:rsid w:val="002541A7"/>
    <w:rsid w:val="0026495E"/>
    <w:rsid w:val="00266A98"/>
    <w:rsid w:val="00274CEB"/>
    <w:rsid w:val="002A4E0D"/>
    <w:rsid w:val="002B209C"/>
    <w:rsid w:val="002D062E"/>
    <w:rsid w:val="002D64B8"/>
    <w:rsid w:val="002E14F5"/>
    <w:rsid w:val="002E1959"/>
    <w:rsid w:val="002E268E"/>
    <w:rsid w:val="002F54B3"/>
    <w:rsid w:val="003126FD"/>
    <w:rsid w:val="0032452E"/>
    <w:rsid w:val="0033348D"/>
    <w:rsid w:val="00354278"/>
    <w:rsid w:val="00367294"/>
    <w:rsid w:val="00370BE4"/>
    <w:rsid w:val="00382A39"/>
    <w:rsid w:val="003B78B9"/>
    <w:rsid w:val="003C53A6"/>
    <w:rsid w:val="003D45FB"/>
    <w:rsid w:val="003D72DE"/>
    <w:rsid w:val="003E4634"/>
    <w:rsid w:val="004038DD"/>
    <w:rsid w:val="00436619"/>
    <w:rsid w:val="00451BB4"/>
    <w:rsid w:val="00455D0F"/>
    <w:rsid w:val="00471445"/>
    <w:rsid w:val="004812EF"/>
    <w:rsid w:val="00485A43"/>
    <w:rsid w:val="00490D0C"/>
    <w:rsid w:val="004946C9"/>
    <w:rsid w:val="004A6BA6"/>
    <w:rsid w:val="00517522"/>
    <w:rsid w:val="00530DE1"/>
    <w:rsid w:val="00532B8F"/>
    <w:rsid w:val="00532F72"/>
    <w:rsid w:val="00533DEA"/>
    <w:rsid w:val="0055040A"/>
    <w:rsid w:val="00552390"/>
    <w:rsid w:val="00552629"/>
    <w:rsid w:val="00561F31"/>
    <w:rsid w:val="00567DC6"/>
    <w:rsid w:val="00585F62"/>
    <w:rsid w:val="00590AF7"/>
    <w:rsid w:val="00596B52"/>
    <w:rsid w:val="005A0E69"/>
    <w:rsid w:val="005A6666"/>
    <w:rsid w:val="005C5052"/>
    <w:rsid w:val="005E46E7"/>
    <w:rsid w:val="00602B19"/>
    <w:rsid w:val="006214B4"/>
    <w:rsid w:val="00622EC3"/>
    <w:rsid w:val="00660DB2"/>
    <w:rsid w:val="0067352F"/>
    <w:rsid w:val="00673EB2"/>
    <w:rsid w:val="00682A5F"/>
    <w:rsid w:val="006900B8"/>
    <w:rsid w:val="006905DD"/>
    <w:rsid w:val="00691EE9"/>
    <w:rsid w:val="006A01CC"/>
    <w:rsid w:val="006A1C98"/>
    <w:rsid w:val="006B173C"/>
    <w:rsid w:val="006B40AE"/>
    <w:rsid w:val="006D223D"/>
    <w:rsid w:val="00722495"/>
    <w:rsid w:val="0076427A"/>
    <w:rsid w:val="0076601E"/>
    <w:rsid w:val="00767F32"/>
    <w:rsid w:val="00785E5D"/>
    <w:rsid w:val="007864C1"/>
    <w:rsid w:val="007B2F10"/>
    <w:rsid w:val="007D7927"/>
    <w:rsid w:val="008146D1"/>
    <w:rsid w:val="00821381"/>
    <w:rsid w:val="00830D03"/>
    <w:rsid w:val="00844F80"/>
    <w:rsid w:val="00857BBF"/>
    <w:rsid w:val="0086039A"/>
    <w:rsid w:val="0087414E"/>
    <w:rsid w:val="00876A4F"/>
    <w:rsid w:val="00891E9E"/>
    <w:rsid w:val="0089771B"/>
    <w:rsid w:val="008A5D6F"/>
    <w:rsid w:val="008A6320"/>
    <w:rsid w:val="008B3DBB"/>
    <w:rsid w:val="008D3809"/>
    <w:rsid w:val="008D7289"/>
    <w:rsid w:val="008E2E1B"/>
    <w:rsid w:val="008E4F49"/>
    <w:rsid w:val="009061E3"/>
    <w:rsid w:val="009065AE"/>
    <w:rsid w:val="00917D15"/>
    <w:rsid w:val="009225C7"/>
    <w:rsid w:val="0094119D"/>
    <w:rsid w:val="009417BF"/>
    <w:rsid w:val="00956EF0"/>
    <w:rsid w:val="009656FE"/>
    <w:rsid w:val="009B6848"/>
    <w:rsid w:val="009E77E9"/>
    <w:rsid w:val="009F2E6B"/>
    <w:rsid w:val="009F4FFD"/>
    <w:rsid w:val="00A06D67"/>
    <w:rsid w:val="00A202F0"/>
    <w:rsid w:val="00A22771"/>
    <w:rsid w:val="00A47B3C"/>
    <w:rsid w:val="00A50A42"/>
    <w:rsid w:val="00A52B92"/>
    <w:rsid w:val="00A61F84"/>
    <w:rsid w:val="00A82C4E"/>
    <w:rsid w:val="00A844C0"/>
    <w:rsid w:val="00AD0F8F"/>
    <w:rsid w:val="00AD77E7"/>
    <w:rsid w:val="00AE45B8"/>
    <w:rsid w:val="00B06CD1"/>
    <w:rsid w:val="00B11D36"/>
    <w:rsid w:val="00B4097E"/>
    <w:rsid w:val="00B663F9"/>
    <w:rsid w:val="00B8371D"/>
    <w:rsid w:val="00B94CD1"/>
    <w:rsid w:val="00BA6C63"/>
    <w:rsid w:val="00BB07C2"/>
    <w:rsid w:val="00BB1AFC"/>
    <w:rsid w:val="00BC0E33"/>
    <w:rsid w:val="00BC3F45"/>
    <w:rsid w:val="00BC7EB6"/>
    <w:rsid w:val="00BD6DCB"/>
    <w:rsid w:val="00BE77E9"/>
    <w:rsid w:val="00BF1CA1"/>
    <w:rsid w:val="00C10934"/>
    <w:rsid w:val="00C369E0"/>
    <w:rsid w:val="00C457C1"/>
    <w:rsid w:val="00C6551D"/>
    <w:rsid w:val="00C669F1"/>
    <w:rsid w:val="00C76F18"/>
    <w:rsid w:val="00CA63D7"/>
    <w:rsid w:val="00CA68FD"/>
    <w:rsid w:val="00CB3E19"/>
    <w:rsid w:val="00CB7CED"/>
    <w:rsid w:val="00CD012C"/>
    <w:rsid w:val="00CD2F5C"/>
    <w:rsid w:val="00CD48D8"/>
    <w:rsid w:val="00CD6F35"/>
    <w:rsid w:val="00CE06EA"/>
    <w:rsid w:val="00D30554"/>
    <w:rsid w:val="00D32335"/>
    <w:rsid w:val="00D35E6E"/>
    <w:rsid w:val="00D47DC6"/>
    <w:rsid w:val="00D63416"/>
    <w:rsid w:val="00D804E2"/>
    <w:rsid w:val="00D91C7C"/>
    <w:rsid w:val="00D93F1D"/>
    <w:rsid w:val="00DB1289"/>
    <w:rsid w:val="00DC2B4D"/>
    <w:rsid w:val="00DD222A"/>
    <w:rsid w:val="00DD3701"/>
    <w:rsid w:val="00DF5B50"/>
    <w:rsid w:val="00E211B7"/>
    <w:rsid w:val="00E41AA0"/>
    <w:rsid w:val="00E43B76"/>
    <w:rsid w:val="00E43EE5"/>
    <w:rsid w:val="00E55CAC"/>
    <w:rsid w:val="00E814C0"/>
    <w:rsid w:val="00E8486B"/>
    <w:rsid w:val="00E876D5"/>
    <w:rsid w:val="00EB62C8"/>
    <w:rsid w:val="00ED77C1"/>
    <w:rsid w:val="00EE0169"/>
    <w:rsid w:val="00EE2B7C"/>
    <w:rsid w:val="00F07C80"/>
    <w:rsid w:val="00F21920"/>
    <w:rsid w:val="00F45B36"/>
    <w:rsid w:val="00F47447"/>
    <w:rsid w:val="00F57B04"/>
    <w:rsid w:val="00F60292"/>
    <w:rsid w:val="00F77146"/>
    <w:rsid w:val="00F85C30"/>
    <w:rsid w:val="00F91252"/>
    <w:rsid w:val="00FB476C"/>
    <w:rsid w:val="00FC5B91"/>
    <w:rsid w:val="00FF2650"/>
    <w:rsid w:val="00FF4022"/>
    <w:rsid w:val="00FF5CE9"/>
    <w:rsid w:val="056B0FF2"/>
    <w:rsid w:val="056F6B10"/>
    <w:rsid w:val="058A1D87"/>
    <w:rsid w:val="06B64A6C"/>
    <w:rsid w:val="06E25862"/>
    <w:rsid w:val="06FC77F9"/>
    <w:rsid w:val="071F66F1"/>
    <w:rsid w:val="0AE862ED"/>
    <w:rsid w:val="0BC42813"/>
    <w:rsid w:val="0D0E6027"/>
    <w:rsid w:val="0E4E45BB"/>
    <w:rsid w:val="0FDA7A1E"/>
    <w:rsid w:val="10BF2644"/>
    <w:rsid w:val="16C33DCD"/>
    <w:rsid w:val="17FF4726"/>
    <w:rsid w:val="1BCE1A88"/>
    <w:rsid w:val="1DA517D7"/>
    <w:rsid w:val="1E992CB5"/>
    <w:rsid w:val="20520C1C"/>
    <w:rsid w:val="21CA3E25"/>
    <w:rsid w:val="224F082B"/>
    <w:rsid w:val="23A93537"/>
    <w:rsid w:val="24D77167"/>
    <w:rsid w:val="24F10704"/>
    <w:rsid w:val="26A17205"/>
    <w:rsid w:val="276B227E"/>
    <w:rsid w:val="27A43AC2"/>
    <w:rsid w:val="2AE72F44"/>
    <w:rsid w:val="2D1C77AE"/>
    <w:rsid w:val="2DB95C5A"/>
    <w:rsid w:val="2EDE73CC"/>
    <w:rsid w:val="32772FE4"/>
    <w:rsid w:val="3411315F"/>
    <w:rsid w:val="359616FE"/>
    <w:rsid w:val="35EC1EDF"/>
    <w:rsid w:val="372F6EDD"/>
    <w:rsid w:val="39AF226F"/>
    <w:rsid w:val="3E3A1504"/>
    <w:rsid w:val="412A3AB2"/>
    <w:rsid w:val="444945A4"/>
    <w:rsid w:val="445E4597"/>
    <w:rsid w:val="45943BEF"/>
    <w:rsid w:val="46100F8F"/>
    <w:rsid w:val="47907FF3"/>
    <w:rsid w:val="49E05CB9"/>
    <w:rsid w:val="4A083E1D"/>
    <w:rsid w:val="4BAC64DC"/>
    <w:rsid w:val="4BD62323"/>
    <w:rsid w:val="4BE15080"/>
    <w:rsid w:val="4C1A2A0A"/>
    <w:rsid w:val="4E60472C"/>
    <w:rsid w:val="52C5363A"/>
    <w:rsid w:val="531A4DC4"/>
    <w:rsid w:val="540272AD"/>
    <w:rsid w:val="54455648"/>
    <w:rsid w:val="56B844BC"/>
    <w:rsid w:val="581B7F13"/>
    <w:rsid w:val="58F51247"/>
    <w:rsid w:val="59C46912"/>
    <w:rsid w:val="59D85404"/>
    <w:rsid w:val="5AB46E58"/>
    <w:rsid w:val="5AF06EAB"/>
    <w:rsid w:val="5B4F2356"/>
    <w:rsid w:val="5B873D00"/>
    <w:rsid w:val="5BAF6B16"/>
    <w:rsid w:val="5C74154D"/>
    <w:rsid w:val="5CCA7E15"/>
    <w:rsid w:val="5D757541"/>
    <w:rsid w:val="5EC73C05"/>
    <w:rsid w:val="60735547"/>
    <w:rsid w:val="61437E7E"/>
    <w:rsid w:val="614D7716"/>
    <w:rsid w:val="63B35330"/>
    <w:rsid w:val="64B97A51"/>
    <w:rsid w:val="669E4476"/>
    <w:rsid w:val="678B26D1"/>
    <w:rsid w:val="67AD6AE9"/>
    <w:rsid w:val="6AC4639A"/>
    <w:rsid w:val="6B260AC3"/>
    <w:rsid w:val="6B7428C3"/>
    <w:rsid w:val="6BCC7E83"/>
    <w:rsid w:val="6BDE22A0"/>
    <w:rsid w:val="6BE80A95"/>
    <w:rsid w:val="6BF01683"/>
    <w:rsid w:val="6D244EE5"/>
    <w:rsid w:val="7050721A"/>
    <w:rsid w:val="709F62D1"/>
    <w:rsid w:val="74CF7951"/>
    <w:rsid w:val="755B0100"/>
    <w:rsid w:val="77042F1F"/>
    <w:rsid w:val="7A83096B"/>
    <w:rsid w:val="7C6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72"/>
      <w:jc w:val="center"/>
      <w:outlineLvl w:val="0"/>
    </w:pPr>
    <w:rPr>
      <w:rFonts w:ascii="Tahoma" w:hAnsi="Tahoma" w:eastAsia="Tahoma" w:cs="Tahoma"/>
      <w:b/>
      <w:bCs/>
      <w:sz w:val="32"/>
      <w:szCs w:val="32"/>
      <w:u w:val="single" w:color="000000"/>
    </w:rPr>
  </w:style>
  <w:style w:type="paragraph" w:styleId="3">
    <w:name w:val="heading 2"/>
    <w:basedOn w:val="1"/>
    <w:next w:val="1"/>
    <w:unhideWhenUsed/>
    <w:qFormat/>
    <w:uiPriority w:val="9"/>
    <w:pPr>
      <w:ind w:left="20"/>
      <w:outlineLvl w:val="1"/>
    </w:pPr>
    <w:rPr>
      <w:rFonts w:ascii="Tahoma" w:hAnsi="Tahoma" w:eastAsia="Tahoma" w:cs="Tahoma"/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ind w:left="288" w:hanging="454"/>
      <w:outlineLvl w:val="2"/>
    </w:pPr>
    <w:rPr>
      <w:rFonts w:ascii="Tahoma" w:hAnsi="Tahoma" w:eastAsia="Tahoma" w:cs="Tahoma"/>
      <w:sz w:val="25"/>
      <w:szCs w:val="25"/>
    </w:rPr>
  </w:style>
  <w:style w:type="paragraph" w:styleId="5">
    <w:name w:val="heading 4"/>
    <w:basedOn w:val="1"/>
    <w:next w:val="1"/>
    <w:unhideWhenUsed/>
    <w:qFormat/>
    <w:uiPriority w:val="9"/>
    <w:pPr>
      <w:ind w:left="288"/>
      <w:outlineLvl w:val="3"/>
    </w:pPr>
    <w:rPr>
      <w:rFonts w:ascii="Tahoma" w:hAnsi="Tahoma" w:eastAsia="Tahoma" w:cs="Tahoma"/>
      <w:b/>
      <w:bCs/>
      <w:sz w:val="24"/>
      <w:szCs w:val="24"/>
      <w:u w:val="single" w:color="00000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paragraph" w:styleId="9">
    <w:name w:val="Body Text"/>
    <w:basedOn w:val="1"/>
    <w:link w:val="23"/>
    <w:qFormat/>
    <w:uiPriority w:val="1"/>
    <w:rPr>
      <w:rFonts w:ascii="Tahoma" w:hAnsi="Tahoma" w:eastAsia="Tahoma" w:cs="Tahoma"/>
      <w:sz w:val="24"/>
      <w:szCs w:val="24"/>
    </w:rPr>
  </w:style>
  <w:style w:type="paragraph" w:styleId="10">
    <w:name w:val="Title"/>
    <w:basedOn w:val="1"/>
    <w:qFormat/>
    <w:uiPriority w:val="10"/>
    <w:pPr>
      <w:spacing w:line="402" w:lineRule="exact"/>
      <w:ind w:left="1135"/>
    </w:pPr>
    <w:rPr>
      <w:b/>
      <w:bCs/>
      <w:sz w:val="36"/>
      <w:szCs w:val="36"/>
      <w:u w:val="single" w:color="000000"/>
    </w:rPr>
  </w:style>
  <w:style w:type="paragraph" w:styleId="11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12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5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table" w:styleId="16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34"/>
    <w:pPr>
      <w:ind w:left="288" w:hanging="375"/>
    </w:pPr>
    <w:rPr>
      <w:rFonts w:ascii="Tahoma" w:hAnsi="Tahoma" w:eastAsia="Tahoma" w:cs="Tahoma"/>
    </w:rPr>
  </w:style>
  <w:style w:type="paragraph" w:customStyle="1" w:styleId="19">
    <w:name w:val="Table Paragraph"/>
    <w:basedOn w:val="1"/>
    <w:qFormat/>
    <w:uiPriority w:val="1"/>
    <w:pPr>
      <w:spacing w:line="229" w:lineRule="exact"/>
    </w:pPr>
  </w:style>
  <w:style w:type="character" w:customStyle="1" w:styleId="20">
    <w:name w:val="Cabeçalho Char"/>
    <w:basedOn w:val="6"/>
    <w:link w:val="12"/>
    <w:qFormat/>
    <w:uiPriority w:val="99"/>
    <w:rPr>
      <w:rFonts w:ascii="Arial" w:hAnsi="Arial" w:eastAsia="Arial" w:cs="Arial"/>
      <w:lang w:val="pt-PT"/>
    </w:rPr>
  </w:style>
  <w:style w:type="character" w:customStyle="1" w:styleId="21">
    <w:name w:val="Rodapé Char"/>
    <w:basedOn w:val="6"/>
    <w:link w:val="13"/>
    <w:qFormat/>
    <w:uiPriority w:val="99"/>
    <w:rPr>
      <w:rFonts w:ascii="Arial" w:hAnsi="Arial" w:eastAsia="Arial" w:cs="Arial"/>
      <w:lang w:val="pt-PT"/>
    </w:rPr>
  </w:style>
  <w:style w:type="character" w:customStyle="1" w:styleId="22">
    <w:name w:val="Texto de balão Char"/>
    <w:basedOn w:val="6"/>
    <w:link w:val="14"/>
    <w:semiHidden/>
    <w:qFormat/>
    <w:uiPriority w:val="99"/>
    <w:rPr>
      <w:rFonts w:ascii="Segoe UI" w:hAnsi="Segoe UI" w:eastAsia="Arial" w:cs="Segoe UI"/>
      <w:sz w:val="18"/>
      <w:szCs w:val="18"/>
      <w:lang w:val="pt-PT"/>
    </w:rPr>
  </w:style>
  <w:style w:type="character" w:customStyle="1" w:styleId="23">
    <w:name w:val="Corpo de texto Char"/>
    <w:basedOn w:val="6"/>
    <w:link w:val="9"/>
    <w:qFormat/>
    <w:uiPriority w:val="1"/>
    <w:rPr>
      <w:rFonts w:ascii="Tahoma" w:hAnsi="Tahoma" w:eastAsia="Tahoma" w:cs="Tahoma"/>
      <w:sz w:val="24"/>
      <w:szCs w:val="24"/>
      <w:lang w:val="pt-PT"/>
    </w:rPr>
  </w:style>
  <w:style w:type="paragraph" w:customStyle="1" w:styleId="24">
    <w:name w:val="Título 41"/>
    <w:basedOn w:val="1"/>
    <w:qFormat/>
    <w:uiPriority w:val="1"/>
    <w:pPr>
      <w:ind w:left="103"/>
      <w:outlineLvl w:val="4"/>
    </w:pPr>
    <w:rPr>
      <w:rFonts w:ascii="Calibri" w:hAnsi="Calibri" w:eastAsia="Calibri" w:cs="Calibri"/>
      <w:b/>
      <w:bCs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FE16C-EADE-4911-8D8E-7AC441B62B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Usuário do Office</Company>
  <Pages>6</Pages>
  <Words>1389</Words>
  <Characters>7506</Characters>
  <Lines>62</Lines>
  <Paragraphs>17</Paragraphs>
  <TotalTime>73</TotalTime>
  <ScaleCrop>false</ScaleCrop>
  <LinksUpToDate>false</LinksUpToDate>
  <CharactersWithSpaces>8878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2021-02-03T18:05:00Z</dcterms:created>
  <dc:creator>LICITA 1</dc:creator>
  <cp:lastModifiedBy>User</cp:lastModifiedBy>
  <cp:lastPrinted>2022-04-27T19:58:00Z</cp:lastPrinted>
  <dcterms:modified xsi:type="dcterms:W3CDTF">2023-05-29T18:03:25Z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993520A0DAC34A2EB469E3D73936BEAA</vt:lpwstr>
  </property>
</Properties>
</file>